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6D" w:rsidRPr="00197D6D" w:rsidRDefault="00197D6D" w:rsidP="00197D6D">
      <w:pPr>
        <w:widowControl w:val="0"/>
        <w:tabs>
          <w:tab w:val="left" w:pos="6456"/>
        </w:tabs>
        <w:autoSpaceDE w:val="0"/>
        <w:autoSpaceDN w:val="0"/>
        <w:spacing w:before="241" w:after="0" w:line="240" w:lineRule="auto"/>
        <w:ind w:left="237"/>
        <w:rPr>
          <w:rFonts w:ascii="Arial" w:eastAsia="Arial" w:hAnsi="Arial" w:cs="Arial"/>
          <w:sz w:val="44"/>
          <w:lang w:eastAsia="en-GB" w:bidi="en-GB"/>
        </w:rPr>
      </w:pPr>
      <w:r w:rsidRPr="00197D6D">
        <w:rPr>
          <w:rFonts w:ascii="Arial" w:eastAsia="Arial" w:hAnsi="Arial" w:cs="Arial"/>
          <w:noProof/>
          <w:lang w:eastAsia="en-GB"/>
        </w:rPr>
        <mc:AlternateContent>
          <mc:Choice Requires="wps">
            <w:drawing>
              <wp:anchor distT="0" distB="0" distL="114300" distR="114300" simplePos="0" relativeHeight="251659264" behindDoc="0" locked="0" layoutInCell="1" allowOverlap="1" wp14:anchorId="5E37ACB1" wp14:editId="18E8F7B7">
                <wp:simplePos x="0" y="0"/>
                <wp:positionH relativeFrom="page">
                  <wp:posOffset>874395</wp:posOffset>
                </wp:positionH>
                <wp:positionV relativeFrom="paragraph">
                  <wp:posOffset>541020</wp:posOffset>
                </wp:positionV>
                <wp:extent cx="6235700" cy="0"/>
                <wp:effectExtent l="26670" t="26670" r="24130" b="20955"/>
                <wp:wrapNone/>
                <wp:docPr id="7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38100">
                          <a:solidFill>
                            <a:srgbClr val="00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85pt,42.6pt" to="559.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i1IAIAAEQEAAAOAAAAZHJzL2Uyb0RvYy54bWysU8GO2jAQvVfqP1i5QxIIWTYirKoEeqEt&#10;0m4/wNgOserYlm0IqOq/d+wQtLu9VFUvzjgz8+bNzPPq6dIJdGbGciXLKJ0mEWKSKMrlsYy+v2wn&#10;ywhZhyXFQklWRldmo6f1xw+rXhdsplolKDMIQKQtel1GrXO6iGNLWtZhO1WaSXA2ynTYwdUcY2pw&#10;D+idiGdJkse9MlQbRZi18LcenNE64DcNI+5b01jmkCgj4ObCacJ58Ge8XuHiaLBuObnRwP/AosNc&#10;QtE7VI0dRifD/4DqODHKqsZNiepi1TScsNADdJMm77p5brFmoRcYjtX3Mdn/B0u+nvcGcVpGDzAe&#10;iTvY0Y5LhvKFn02vbQEhldwb3x25yGe9U+SHRVJVLZZHFji+XDXkpT4jfpPiL1ZDhUP/RVGIwSen&#10;wqAujek8JIwAXcI+rvd9sItDBH7ms/niIQFeZPTFuBgTtbHuM1Md8kYZCSAdgPF5Z50ngosxxNeR&#10;asuFCOsWEvVlNF+mAO1dVglOvTdczPFQCYPO2Csmmc/zPLT1LsxD19i2Q1xAGLRk1EnSUKZlmG5u&#10;tsNcDDbQEtIXgiaB6M0atPLzMXncLDfLbJLN8s0kS+p68mlbZZN8mz4s6nldVXX6y3NOs6LllDLp&#10;aY+6TbO/08XtBQ2Kuyv3PqD4LXqYJJAdv4F02LJf7CCRg6LXvRm3D1INwbdn5d/C6zvYrx//+jcA&#10;AAD//wMAUEsDBBQABgAIAAAAIQB1Jysz3AAAAAoBAAAPAAAAZHJzL2Rvd25yZXYueG1sTI/NTsMw&#10;EITvSLyDtUjcqPMjSAlxqqoSD0BoQdy28ZJE2Os0dtvw9rjiAMeZ/TQ7U61ma8SJJj84VpAuEhDE&#10;rdMDdwq2r893SxA+IGs0jknBN3lY1ddXFZbanfmFTk3oRAxhX6KCPoSxlNK3PVn0CzcSx9unmyyG&#10;KKdO6gnPMdwamSXJg7Q4cPzQ40ibntqv5mgVHPLDnL+tTQj4sdtusua9K5pcqdubef0EItAc/mC4&#10;1I/VoY6d9u7I2gsTdV4UEVWwvM9AXIA0fYzO/teRdSX/T6h/AAAA//8DAFBLAQItABQABgAIAAAA&#10;IQC2gziS/gAAAOEBAAATAAAAAAAAAAAAAAAAAAAAAABbQ29udGVudF9UeXBlc10ueG1sUEsBAi0A&#10;FAAGAAgAAAAhADj9If/WAAAAlAEAAAsAAAAAAAAAAAAAAAAALwEAAF9yZWxzLy5yZWxzUEsBAi0A&#10;FAAGAAgAAAAhALHJiLUgAgAARAQAAA4AAAAAAAAAAAAAAAAALgIAAGRycy9lMm9Eb2MueG1sUEsB&#10;Ai0AFAAGAAgAAAAhAHUnKzPcAAAACgEAAA8AAAAAAAAAAAAAAAAAegQAAGRycy9kb3ducmV2Lnht&#10;bFBLBQYAAAAABAAEAPMAAACDBQAAAAA=&#10;" strokecolor="#036" strokeweight="3pt">
                <w10:wrap anchorx="page"/>
              </v:line>
            </w:pict>
          </mc:Fallback>
        </mc:AlternateContent>
      </w:r>
      <w:r w:rsidRPr="00197D6D">
        <w:rPr>
          <w:rFonts w:ascii="Arial" w:eastAsia="Arial" w:hAnsi="Arial" w:cs="Arial"/>
          <w:color w:val="003300"/>
          <w:sz w:val="44"/>
          <w:lang w:eastAsia="en-GB" w:bidi="en-GB"/>
        </w:rPr>
        <w:t>Prescribing</w:t>
      </w:r>
      <w:r w:rsidRPr="00197D6D">
        <w:rPr>
          <w:rFonts w:ascii="Arial" w:eastAsia="Arial" w:hAnsi="Arial" w:cs="Arial"/>
          <w:color w:val="003300"/>
          <w:spacing w:val="-4"/>
          <w:sz w:val="44"/>
          <w:lang w:eastAsia="en-GB" w:bidi="en-GB"/>
        </w:rPr>
        <w:t xml:space="preserve"> </w:t>
      </w:r>
      <w:r w:rsidRPr="00197D6D">
        <w:rPr>
          <w:rFonts w:ascii="Arial" w:eastAsia="Arial" w:hAnsi="Arial" w:cs="Arial"/>
          <w:color w:val="003300"/>
          <w:sz w:val="44"/>
          <w:lang w:eastAsia="en-GB" w:bidi="en-GB"/>
        </w:rPr>
        <w:t>Information</w:t>
      </w:r>
      <w:r w:rsidRPr="00197D6D">
        <w:rPr>
          <w:rFonts w:ascii="Arial" w:eastAsia="Arial" w:hAnsi="Arial" w:cs="Arial"/>
          <w:color w:val="003300"/>
          <w:spacing w:val="-3"/>
          <w:sz w:val="44"/>
          <w:lang w:eastAsia="en-GB" w:bidi="en-GB"/>
        </w:rPr>
        <w:t xml:space="preserve"> </w:t>
      </w:r>
      <w:r>
        <w:rPr>
          <w:rFonts w:ascii="Arial" w:eastAsia="Arial" w:hAnsi="Arial" w:cs="Arial"/>
          <w:color w:val="003300"/>
          <w:sz w:val="44"/>
          <w:lang w:eastAsia="en-GB" w:bidi="en-GB"/>
        </w:rPr>
        <w:t xml:space="preserve">Sheet </w:t>
      </w:r>
      <w:r w:rsidRPr="00197D6D">
        <w:rPr>
          <w:rFonts w:ascii="Arial" w:eastAsia="Arial" w:hAnsi="Arial" w:cs="Arial"/>
          <w:color w:val="003300"/>
          <w:sz w:val="44"/>
          <w:lang w:eastAsia="en-GB" w:bidi="en-GB"/>
        </w:rPr>
        <w:t>February 2019</w:t>
      </w:r>
    </w:p>
    <w:p w:rsidR="00197D6D" w:rsidRPr="00197D6D" w:rsidRDefault="00197D6D" w:rsidP="00197D6D">
      <w:pPr>
        <w:widowControl w:val="0"/>
        <w:autoSpaceDE w:val="0"/>
        <w:autoSpaceDN w:val="0"/>
        <w:spacing w:before="1" w:after="0" w:line="240" w:lineRule="auto"/>
        <w:rPr>
          <w:rFonts w:ascii="Arial" w:eastAsia="Arial" w:hAnsi="Arial" w:cs="Arial"/>
          <w:sz w:val="44"/>
          <w:szCs w:val="44"/>
          <w:lang w:eastAsia="en-GB" w:bidi="en-GB"/>
        </w:rPr>
      </w:pPr>
    </w:p>
    <w:p w:rsidR="00197D6D" w:rsidRDefault="00197D6D" w:rsidP="00197D6D">
      <w:pPr>
        <w:widowControl w:val="0"/>
        <w:autoSpaceDE w:val="0"/>
        <w:autoSpaceDN w:val="0"/>
        <w:spacing w:before="1" w:after="0" w:line="240" w:lineRule="auto"/>
        <w:ind w:left="2673" w:right="295" w:hanging="2367"/>
        <w:rPr>
          <w:rFonts w:ascii="Arial" w:eastAsia="Arial" w:hAnsi="Arial" w:cs="Arial"/>
          <w:b/>
          <w:color w:val="0071C5"/>
          <w:sz w:val="40"/>
          <w:lang w:eastAsia="en-GB" w:bidi="en-GB"/>
        </w:rPr>
      </w:pPr>
      <w:r w:rsidRPr="00197D6D">
        <w:rPr>
          <w:rFonts w:ascii="Arial" w:eastAsia="Arial" w:hAnsi="Arial" w:cs="Arial"/>
          <w:b/>
          <w:color w:val="0071C5"/>
          <w:sz w:val="40"/>
          <w:lang w:eastAsia="en-GB" w:bidi="en-GB"/>
        </w:rPr>
        <w:t>Agomelatine (</w:t>
      </w:r>
      <w:proofErr w:type="spellStart"/>
      <w:r w:rsidRPr="00197D6D">
        <w:rPr>
          <w:rFonts w:ascii="Arial" w:eastAsia="Arial" w:hAnsi="Arial" w:cs="Arial"/>
          <w:b/>
          <w:color w:val="0071C5"/>
          <w:sz w:val="40"/>
          <w:lang w:eastAsia="en-GB" w:bidi="en-GB"/>
        </w:rPr>
        <w:t>Valdoxan</w:t>
      </w:r>
      <w:proofErr w:type="spellEnd"/>
      <w:r w:rsidRPr="00197D6D">
        <w:rPr>
          <w:rFonts w:ascii="Arial" w:eastAsia="Arial" w:hAnsi="Arial" w:cs="Arial"/>
          <w:b/>
          <w:color w:val="0071C5"/>
          <w:sz w:val="40"/>
          <w:lang w:eastAsia="en-GB" w:bidi="en-GB"/>
        </w:rPr>
        <w:t xml:space="preserve"> </w:t>
      </w:r>
      <w:r w:rsidRPr="00197D6D">
        <w:rPr>
          <w:rFonts w:ascii="Arial" w:eastAsia="Arial" w:hAnsi="Arial" w:cs="Arial"/>
          <w:b/>
          <w:color w:val="0071C5"/>
          <w:sz w:val="40"/>
          <w:vertAlign w:val="superscript"/>
          <w:lang w:eastAsia="en-GB" w:bidi="en-GB"/>
        </w:rPr>
        <w:t>®</w:t>
      </w:r>
      <w:r w:rsidRPr="00197D6D">
        <w:rPr>
          <w:rFonts w:ascii="Arial" w:eastAsia="Arial" w:hAnsi="Arial" w:cs="Arial"/>
          <w:b/>
          <w:color w:val="0071C5"/>
          <w:sz w:val="40"/>
          <w:lang w:eastAsia="en-GB" w:bidi="en-GB"/>
        </w:rPr>
        <w:t>) – third line for major depression</w:t>
      </w:r>
    </w:p>
    <w:p w:rsidR="00197D6D" w:rsidRDefault="00197D6D" w:rsidP="00197D6D">
      <w:pPr>
        <w:widowControl w:val="0"/>
        <w:autoSpaceDE w:val="0"/>
        <w:autoSpaceDN w:val="0"/>
        <w:spacing w:before="1" w:after="0" w:line="240" w:lineRule="auto"/>
        <w:ind w:left="2673" w:right="295" w:hanging="2367"/>
        <w:rPr>
          <w:rFonts w:ascii="Arial" w:eastAsia="Arial" w:hAnsi="Arial" w:cs="Arial"/>
          <w:b/>
          <w:color w:val="0071C5"/>
          <w:sz w:val="40"/>
          <w:lang w:eastAsia="en-GB" w:bidi="en-GB"/>
        </w:rPr>
      </w:pPr>
    </w:p>
    <w:p w:rsidR="00197D6D" w:rsidRPr="00197D6D" w:rsidRDefault="009A4F86" w:rsidP="00197D6D">
      <w:pPr>
        <w:widowControl w:val="0"/>
        <w:autoSpaceDE w:val="0"/>
        <w:autoSpaceDN w:val="0"/>
        <w:spacing w:before="1" w:after="0" w:line="240" w:lineRule="auto"/>
        <w:ind w:left="2673" w:right="295" w:hanging="2673"/>
        <w:rPr>
          <w:rFonts w:ascii="Arial" w:eastAsia="Arial" w:hAnsi="Arial" w:cs="Arial"/>
          <w:b/>
          <w:sz w:val="20"/>
          <w:szCs w:val="20"/>
          <w:lang w:eastAsia="en-GB" w:bidi="en-GB"/>
        </w:rPr>
      </w:pPr>
      <w:r w:rsidRPr="009A4F86">
        <w:rPr>
          <w:rFonts w:ascii="Arial" w:eastAsia="Arial" w:hAnsi="Arial" w:cs="Arial"/>
          <w:b/>
          <w:noProof/>
          <w:sz w:val="20"/>
          <w:szCs w:val="20"/>
          <w:lang w:eastAsia="en-GB"/>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667541" cy="1403985"/>
                <wp:effectExtent l="0" t="0" r="2857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41" cy="1403985"/>
                        </a:xfrm>
                        <a:prstGeom prst="rect">
                          <a:avLst/>
                        </a:prstGeom>
                        <a:solidFill>
                          <a:schemeClr val="accent1">
                            <a:lumMod val="20000"/>
                            <a:lumOff val="80000"/>
                          </a:schemeClr>
                        </a:solidFill>
                        <a:ln w="9525">
                          <a:solidFill>
                            <a:srgbClr val="000000"/>
                          </a:solidFill>
                          <a:miter lim="800000"/>
                          <a:headEnd/>
                          <a:tailEnd/>
                        </a:ln>
                      </wps:spPr>
                      <wps:txbx>
                        <w:txbxContent>
                          <w:p w:rsidR="009A4F86" w:rsidRPr="009A4F86" w:rsidRDefault="009A4F86" w:rsidP="009A4F86">
                            <w:pPr>
                              <w:rPr>
                                <w:rFonts w:ascii="Arial" w:hAnsi="Arial" w:cs="Arial"/>
                                <w:b/>
                              </w:rPr>
                            </w:pPr>
                            <w:r w:rsidRPr="009A4F86">
                              <w:rPr>
                                <w:rFonts w:ascii="Arial" w:hAnsi="Arial" w:cs="Arial"/>
                                <w:b/>
                              </w:rPr>
                              <w:t>Formulary Status</w:t>
                            </w:r>
                          </w:p>
                          <w:p w:rsidR="009A4F86" w:rsidRPr="009A4F86" w:rsidRDefault="009A4F86" w:rsidP="009A4F86">
                            <w:pPr>
                              <w:rPr>
                                <w:rFonts w:ascii="Arial" w:hAnsi="Arial" w:cs="Arial"/>
                                <w:sz w:val="20"/>
                                <w:szCs w:val="20"/>
                              </w:rPr>
                            </w:pPr>
                            <w:r w:rsidRPr="009A4F86">
                              <w:rPr>
                                <w:rFonts w:ascii="Arial" w:hAnsi="Arial" w:cs="Arial"/>
                                <w:sz w:val="20"/>
                                <w:szCs w:val="20"/>
                              </w:rPr>
                              <w:t>For the treatment of major depressive episodes in patients for whom other anti-depressants have not been efficacious or when potential or actual side effects of other anti-depressants prohibit use</w:t>
                            </w:r>
                          </w:p>
                          <w:p w:rsidR="009A4F86" w:rsidRPr="009A4F86" w:rsidRDefault="009A4F86" w:rsidP="009A4F86">
                            <w:pPr>
                              <w:rPr>
                                <w:rFonts w:ascii="Arial" w:hAnsi="Arial" w:cs="Arial"/>
                                <w:sz w:val="20"/>
                                <w:szCs w:val="20"/>
                              </w:rPr>
                            </w:pPr>
                            <w:r w:rsidRPr="009A4F86">
                              <w:rPr>
                                <w:rFonts w:ascii="Arial" w:hAnsi="Arial" w:cs="Arial"/>
                                <w:sz w:val="20"/>
                                <w:szCs w:val="20"/>
                              </w:rPr>
                              <w:t>GP may initiate or continue prescribing if initiated in secondary care</w:t>
                            </w:r>
                          </w:p>
                          <w:p w:rsidR="009A4F86" w:rsidRPr="009A4F86" w:rsidRDefault="009A4F86" w:rsidP="009A4F86">
                            <w:pPr>
                              <w:rPr>
                                <w:rFonts w:ascii="Arial" w:hAnsi="Arial" w:cs="Arial"/>
                                <w:sz w:val="20"/>
                                <w:szCs w:val="20"/>
                              </w:rPr>
                            </w:pPr>
                            <w:r w:rsidRPr="009A4F86">
                              <w:rPr>
                                <w:rFonts w:ascii="Arial" w:hAnsi="Arial" w:cs="Arial"/>
                                <w:sz w:val="20"/>
                                <w:szCs w:val="20"/>
                              </w:rPr>
                              <w:t xml:space="preserve">If initiated in secondary care then this service will continue to supply until all liver function tests have been completed.  This will be 24 weeks following initiation or dose increase.  </w:t>
                            </w:r>
                          </w:p>
                          <w:p w:rsidR="009A4F86" w:rsidRPr="009A4F86" w:rsidRDefault="009A4F86" w:rsidP="009A4F86">
                            <w:pPr>
                              <w:rPr>
                                <w:rFonts w:ascii="Arial" w:hAnsi="Arial" w:cs="Arial"/>
                                <w:sz w:val="20"/>
                                <w:szCs w:val="20"/>
                              </w:rPr>
                            </w:pPr>
                            <w:r w:rsidRPr="009A4F86">
                              <w:rPr>
                                <w:rFonts w:ascii="Arial" w:hAnsi="Arial" w:cs="Arial"/>
                                <w:sz w:val="20"/>
                                <w:szCs w:val="20"/>
                              </w:rPr>
                              <w:t>After that time point GPs will continue the prescription for the duration as advised by secondary mental health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46.2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QgSAIAAIUEAAAOAAAAZHJzL2Uyb0RvYy54bWysVNtu2zAMfR+wfxD0vthOkzQx4hRdugwD&#10;ugvQ7gNkWY6F6TZJiZ19fSnJydLtbdiLIZHU4SEP6fXdIAU6Muu4VhUuJjlGTFHdcLWv8Pfn3bsl&#10;Rs4T1RChFavwiTl8t3n7Zt2bkk11p0XDLAIQ5creVLjz3pRZ5mjHJHETbZgCZ6utJB6udp81lvSA&#10;LkU2zfNF1mvbGKspcw6sD8mJNxG/bRn1X9vWMY9EhYGbj18bv3X4Zps1KfeWmI7TkQb5BxaScAVJ&#10;L1APxBN0sPwvKMmp1U63fkK1zHTbcspiDVBNkf9RzVNHDIu1QHOcubTJ/T9Y+uX4zSLeVPgmv8VI&#10;EQkiPbPBo/d6QNPQn964EsKeDAT6Acygc6zVmUdNfzik9LYjas/urdV9x0gD/IrwMrt6mnBcAKn7&#10;z7qBNOTgdQQaWitD86AdCNBBp9NFm0CFgnG+WNzOZwVGFHzFLL9ZLecxBynPz411/iPTEoVDhS2I&#10;H+HJ8dH5QIeU55CQzWnBmx0XIl7CwLGtsOhIYFQIpUz5VKY4SOCb7DBy+Tg0YIbRSubl2Qwp4ugG&#10;pJjwVRKhUF/h1Xw6T/17RcDu60v6AJfyBMDrMMk97IvgssIx6UgmdP2DauI0e8JFOsNjoUYZQueT&#10;Bn6oh1HWWjcnEMTqtBewx3DotP2FUQ87UWH380Asw0h8UiDqqpjNwhLFy2x+O4WLvfbU1x6iKEBV&#10;2GOUjlsfFy+229yD+DseZQlTkpiMXGHWY/PGvQzLdH2PUb//HpsXAAAA//8DAFBLAwQUAAYACAAA&#10;ACEAPHuiltwAAAAFAQAADwAAAGRycy9kb3ducmV2LnhtbEyPQUvDQBCF74L/YRnBm91kQRtjJkWF&#10;4lEaC6W3TXaapGZnQ3bbxn/v6kUvA4/3eO+bYjXbQZxp8r1jhHSRgCBunOm5Rdh+rO8yED5oNnpw&#10;TAhf5GFVXl8VOjfuwhs6V6EVsYR9rhG6EMZcSt90ZLVfuJE4egc3WR2inFppJn2J5XaQKkkepNU9&#10;x4VOj/TaUfNZnSzCZlett9nbe7887lol9/vavsxLxNub+fkJRKA5/IXhBz+iQxmZandi48WAEB8J&#10;vzd62aO6B1EjKJWmIMtC/qcvvwEAAP//AwBQSwECLQAUAAYACAAAACEAtoM4kv4AAADhAQAAEwAA&#10;AAAAAAAAAAAAAAAAAAAAW0NvbnRlbnRfVHlwZXNdLnhtbFBLAQItABQABgAIAAAAIQA4/SH/1gAA&#10;AJQBAAALAAAAAAAAAAAAAAAAAC8BAABfcmVscy8ucmVsc1BLAQItABQABgAIAAAAIQDcESQgSAIA&#10;AIUEAAAOAAAAAAAAAAAAAAAAAC4CAABkcnMvZTJvRG9jLnhtbFBLAQItABQABgAIAAAAIQA8e6KW&#10;3AAAAAUBAAAPAAAAAAAAAAAAAAAAAKIEAABkcnMvZG93bnJldi54bWxQSwUGAAAAAAQABADzAAAA&#10;qwUAAAAA&#10;" fillcolor="#dbe5f1 [660]">
                <v:textbox style="mso-fit-shape-to-text:t">
                  <w:txbxContent>
                    <w:p w:rsidR="009A4F86" w:rsidRPr="009A4F86" w:rsidRDefault="009A4F86" w:rsidP="009A4F86">
                      <w:pPr>
                        <w:rPr>
                          <w:rFonts w:ascii="Arial" w:hAnsi="Arial" w:cs="Arial"/>
                          <w:b/>
                        </w:rPr>
                      </w:pPr>
                      <w:r w:rsidRPr="009A4F86">
                        <w:rPr>
                          <w:rFonts w:ascii="Arial" w:hAnsi="Arial" w:cs="Arial"/>
                          <w:b/>
                        </w:rPr>
                        <w:t>Formulary Status</w:t>
                      </w:r>
                    </w:p>
                    <w:p w:rsidR="009A4F86" w:rsidRPr="009A4F86" w:rsidRDefault="009A4F86" w:rsidP="009A4F86">
                      <w:pPr>
                        <w:rPr>
                          <w:rFonts w:ascii="Arial" w:hAnsi="Arial" w:cs="Arial"/>
                          <w:sz w:val="20"/>
                          <w:szCs w:val="20"/>
                        </w:rPr>
                      </w:pPr>
                      <w:r w:rsidRPr="009A4F86">
                        <w:rPr>
                          <w:rFonts w:ascii="Arial" w:hAnsi="Arial" w:cs="Arial"/>
                          <w:sz w:val="20"/>
                          <w:szCs w:val="20"/>
                        </w:rPr>
                        <w:t>For the treatment of major depressive episodes in patients for whom other anti-depressants have not been efficacious or when potential or actual side effects of other anti-depressants prohibit use</w:t>
                      </w:r>
                    </w:p>
                    <w:p w:rsidR="009A4F86" w:rsidRPr="009A4F86" w:rsidRDefault="009A4F86" w:rsidP="009A4F86">
                      <w:pPr>
                        <w:rPr>
                          <w:rFonts w:ascii="Arial" w:hAnsi="Arial" w:cs="Arial"/>
                          <w:sz w:val="20"/>
                          <w:szCs w:val="20"/>
                        </w:rPr>
                      </w:pPr>
                      <w:r w:rsidRPr="009A4F86">
                        <w:rPr>
                          <w:rFonts w:ascii="Arial" w:hAnsi="Arial" w:cs="Arial"/>
                          <w:sz w:val="20"/>
                          <w:szCs w:val="20"/>
                        </w:rPr>
                        <w:t>GP may initiate or continue prescribing if initiated in secondary care</w:t>
                      </w:r>
                    </w:p>
                    <w:p w:rsidR="009A4F86" w:rsidRPr="009A4F86" w:rsidRDefault="009A4F86" w:rsidP="009A4F86">
                      <w:pPr>
                        <w:rPr>
                          <w:rFonts w:ascii="Arial" w:hAnsi="Arial" w:cs="Arial"/>
                          <w:sz w:val="20"/>
                          <w:szCs w:val="20"/>
                        </w:rPr>
                      </w:pPr>
                      <w:r w:rsidRPr="009A4F86">
                        <w:rPr>
                          <w:rFonts w:ascii="Arial" w:hAnsi="Arial" w:cs="Arial"/>
                          <w:sz w:val="20"/>
                          <w:szCs w:val="20"/>
                        </w:rPr>
                        <w:t xml:space="preserve">If initiated in secondary care then this service will continue to supply until all liver function tests have been completed.  This will be 24 weeks following initiation or dose increase.  </w:t>
                      </w:r>
                    </w:p>
                    <w:p w:rsidR="009A4F86" w:rsidRPr="009A4F86" w:rsidRDefault="009A4F86" w:rsidP="009A4F86">
                      <w:pPr>
                        <w:rPr>
                          <w:rFonts w:ascii="Arial" w:hAnsi="Arial" w:cs="Arial"/>
                          <w:sz w:val="20"/>
                          <w:szCs w:val="20"/>
                        </w:rPr>
                      </w:pPr>
                      <w:r w:rsidRPr="009A4F86">
                        <w:rPr>
                          <w:rFonts w:ascii="Arial" w:hAnsi="Arial" w:cs="Arial"/>
                          <w:sz w:val="20"/>
                          <w:szCs w:val="20"/>
                        </w:rPr>
                        <w:t>After that time point GPs will continue the prescription for the duration as advised by secondary mental health services</w:t>
                      </w:r>
                    </w:p>
                  </w:txbxContent>
                </v:textbox>
              </v:shape>
            </w:pict>
          </mc:Fallback>
        </mc:AlternateContent>
      </w:r>
    </w:p>
    <w:p w:rsidR="00D03BF4" w:rsidRDefault="00D03BF4"/>
    <w:p w:rsidR="009A4F86" w:rsidRDefault="009A4F86"/>
    <w:p w:rsidR="009A4F86" w:rsidRDefault="009A4F86"/>
    <w:p w:rsidR="009A4F86" w:rsidRDefault="009A4F86"/>
    <w:p w:rsidR="009A4F86" w:rsidRDefault="009A4F86"/>
    <w:p w:rsidR="009A4F86" w:rsidRDefault="009A4F86"/>
    <w:p w:rsidR="00177C38" w:rsidRDefault="00177C38" w:rsidP="009A4F86">
      <w:pPr>
        <w:pStyle w:val="Heading2"/>
        <w:ind w:right="-188"/>
      </w:pPr>
    </w:p>
    <w:p w:rsidR="009A4F86" w:rsidRDefault="009A4F86" w:rsidP="009A4F86">
      <w:pPr>
        <w:pStyle w:val="Heading2"/>
        <w:ind w:right="-188"/>
        <w:rPr>
          <w:color w:val="0000FF"/>
          <w:u w:val="thick" w:color="0000FF"/>
        </w:rPr>
      </w:pPr>
      <w:r>
        <w:t xml:space="preserve">Full prescribing guidance – Summary of Product Characteristics </w:t>
      </w:r>
      <w:hyperlink r:id="rId7">
        <w:r>
          <w:rPr>
            <w:color w:val="0000FF"/>
            <w:u w:val="thick" w:color="0000FF"/>
          </w:rPr>
          <w:t>www.emc.medicines.org.uk</w:t>
        </w:r>
      </w:hyperlink>
    </w:p>
    <w:p w:rsidR="009A4F86" w:rsidRDefault="00177C38">
      <w:pPr>
        <w:rPr>
          <w:rFonts w:ascii="Arial" w:hAnsi="Arial" w:cs="Arial"/>
          <w:b/>
        </w:rPr>
      </w:pPr>
      <w:r w:rsidRPr="009A4F86">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23DCC07B" wp14:editId="66D0E1C8">
                <wp:simplePos x="0" y="0"/>
                <wp:positionH relativeFrom="column">
                  <wp:posOffset>103505</wp:posOffset>
                </wp:positionH>
                <wp:positionV relativeFrom="paragraph">
                  <wp:posOffset>152400</wp:posOffset>
                </wp:positionV>
                <wp:extent cx="5802934" cy="4039262"/>
                <wp:effectExtent l="0" t="0" r="2667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934" cy="4039262"/>
                        </a:xfrm>
                        <a:prstGeom prst="rect">
                          <a:avLst/>
                        </a:prstGeom>
                        <a:solidFill>
                          <a:schemeClr val="bg1">
                            <a:lumMod val="95000"/>
                          </a:schemeClr>
                        </a:solidFill>
                        <a:ln w="9525">
                          <a:solidFill>
                            <a:srgbClr val="000000"/>
                          </a:solidFill>
                          <a:miter lim="800000"/>
                          <a:headEnd/>
                          <a:tailEnd/>
                        </a:ln>
                      </wps:spPr>
                      <wps:txbx>
                        <w:txbxContent>
                          <w:p w:rsidR="00177C38" w:rsidRPr="009A4F86" w:rsidRDefault="00177C38" w:rsidP="00177C38">
                            <w:pPr>
                              <w:spacing w:before="14"/>
                              <w:ind w:left="108"/>
                              <w:rPr>
                                <w:rFonts w:ascii="Arial" w:hAnsi="Arial" w:cs="Arial"/>
                                <w:b/>
                              </w:rPr>
                            </w:pPr>
                            <w:r w:rsidRPr="009A4F86">
                              <w:rPr>
                                <w:rFonts w:ascii="Arial" w:hAnsi="Arial" w:cs="Arial"/>
                                <w:b/>
                              </w:rPr>
                              <w:t>Indication and Dosage</w:t>
                            </w:r>
                          </w:p>
                          <w:p w:rsidR="00177C38" w:rsidRPr="009A4F86" w:rsidRDefault="00177C38" w:rsidP="00177C38">
                            <w:pPr>
                              <w:pStyle w:val="BodyText"/>
                              <w:spacing w:before="1" w:line="242" w:lineRule="auto"/>
                              <w:ind w:left="108" w:right="181"/>
                            </w:pPr>
                            <w:r w:rsidRPr="009A4F86">
                              <w:rPr>
                                <w:b/>
                              </w:rPr>
                              <w:t>Indication:</w:t>
                            </w:r>
                            <w:r w:rsidRPr="009A4F86">
                              <w:t xml:space="preserve"> Agomelatine is licensed for the treatment of major depressive episodes in adults</w:t>
                            </w:r>
                          </w:p>
                          <w:p w:rsidR="00177C38" w:rsidRPr="009A4F86" w:rsidRDefault="00177C38" w:rsidP="00177C38">
                            <w:pPr>
                              <w:pStyle w:val="BodyText"/>
                              <w:spacing w:before="1" w:line="242" w:lineRule="auto"/>
                              <w:ind w:left="108" w:right="181"/>
                            </w:pPr>
                          </w:p>
                          <w:p w:rsidR="00177C38" w:rsidRPr="009A4F86" w:rsidRDefault="00177C38" w:rsidP="00177C38">
                            <w:pPr>
                              <w:spacing w:before="87"/>
                              <w:ind w:left="108"/>
                              <w:rPr>
                                <w:rFonts w:ascii="Arial" w:hAnsi="Arial" w:cs="Arial"/>
                                <w:sz w:val="20"/>
                                <w:szCs w:val="20"/>
                              </w:rPr>
                            </w:pPr>
                            <w:r w:rsidRPr="009A4F86">
                              <w:rPr>
                                <w:rFonts w:ascii="Arial" w:hAnsi="Arial" w:cs="Arial"/>
                                <w:b/>
                                <w:sz w:val="20"/>
                                <w:szCs w:val="20"/>
                              </w:rPr>
                              <w:t>Presentation:</w:t>
                            </w:r>
                            <w:r w:rsidRPr="009A4F86">
                              <w:rPr>
                                <w:rFonts w:ascii="Arial" w:hAnsi="Arial" w:cs="Arial"/>
                                <w:sz w:val="20"/>
                                <w:szCs w:val="20"/>
                              </w:rPr>
                              <w:t xml:space="preserve"> Tablet 25mg </w:t>
                            </w:r>
                          </w:p>
                          <w:p w:rsidR="00177C38" w:rsidRPr="009A4F86" w:rsidRDefault="00177C38" w:rsidP="00177C38">
                            <w:pPr>
                              <w:pStyle w:val="BodyText"/>
                              <w:spacing w:line="242" w:lineRule="auto"/>
                              <w:ind w:left="108" w:right="439"/>
                              <w:jc w:val="both"/>
                            </w:pPr>
                            <w:r w:rsidRPr="009A4F86">
                              <w:rPr>
                                <w:b/>
                              </w:rPr>
                              <w:t xml:space="preserve">Dosage and Administration: </w:t>
                            </w:r>
                            <w:r w:rsidRPr="009A4F86">
                              <w:t xml:space="preserve">The recommended dose is 25 mg once daily taken orally at bedtime. </w:t>
                            </w:r>
                          </w:p>
                          <w:p w:rsidR="00177C38" w:rsidRPr="009A4F86" w:rsidRDefault="00177C38" w:rsidP="00177C38">
                            <w:pPr>
                              <w:pStyle w:val="BodyText"/>
                              <w:spacing w:line="242" w:lineRule="auto"/>
                              <w:ind w:left="108" w:right="439"/>
                              <w:jc w:val="both"/>
                            </w:pPr>
                          </w:p>
                          <w:p w:rsidR="00177C38" w:rsidRPr="009A4F86" w:rsidRDefault="00177C38" w:rsidP="00177C38">
                            <w:pPr>
                              <w:pStyle w:val="BodyText"/>
                              <w:spacing w:line="242" w:lineRule="auto"/>
                              <w:ind w:left="108" w:right="439"/>
                              <w:jc w:val="both"/>
                            </w:pPr>
                            <w:r w:rsidRPr="009A4F86">
                              <w:t>After two weeks of treatment, if there is no improvement of symptoms, the dose may be increased to 50 mg once daily, i.e. two 25 mg tablets, taken together at bedtime.</w:t>
                            </w:r>
                          </w:p>
                          <w:p w:rsidR="00177C38" w:rsidRPr="009A4F86" w:rsidRDefault="00177C38" w:rsidP="00177C38">
                            <w:pPr>
                              <w:pStyle w:val="BodyText"/>
                              <w:spacing w:line="242" w:lineRule="auto"/>
                              <w:ind w:left="108" w:right="439"/>
                              <w:jc w:val="both"/>
                            </w:pPr>
                          </w:p>
                          <w:p w:rsidR="00177C38" w:rsidRPr="009A4F86" w:rsidRDefault="00177C38" w:rsidP="00177C38">
                            <w:pPr>
                              <w:pStyle w:val="BodyText"/>
                              <w:spacing w:before="1" w:line="242" w:lineRule="auto"/>
                              <w:ind w:left="108"/>
                            </w:pPr>
                            <w:r w:rsidRPr="009A4F86">
                              <w:rPr>
                                <w:i/>
                              </w:rPr>
                              <w:t xml:space="preserve">Renal impairment: </w:t>
                            </w:r>
                            <w:r w:rsidRPr="009A4F86">
                              <w:t>No dose adjustment is required, however caution should be exercised when prescribing agomelatine to patients with moderate or severe renal impairment.</w:t>
                            </w:r>
                          </w:p>
                          <w:p w:rsidR="00177C38" w:rsidRPr="009A4F86" w:rsidRDefault="00177C38" w:rsidP="00177C38">
                            <w:pPr>
                              <w:pStyle w:val="BodyText"/>
                              <w:spacing w:before="1" w:line="242" w:lineRule="auto"/>
                              <w:ind w:left="108"/>
                              <w:rPr>
                                <w:b/>
                              </w:rPr>
                            </w:pPr>
                          </w:p>
                          <w:p w:rsidR="00177C38" w:rsidRPr="009A4F86" w:rsidRDefault="00177C38" w:rsidP="00177C38">
                            <w:pPr>
                              <w:pStyle w:val="BodyText"/>
                              <w:spacing w:line="242" w:lineRule="auto"/>
                              <w:ind w:left="108" w:right="295"/>
                            </w:pPr>
                            <w:r w:rsidRPr="009A4F86">
                              <w:rPr>
                                <w:i/>
                              </w:rPr>
                              <w:t xml:space="preserve">Hepatic impairment:  </w:t>
                            </w:r>
                            <w:r w:rsidRPr="009A4F86">
                              <w:t xml:space="preserve">Agomelatine is contraindicated in patients with hepatic impairment (see monitoring guidelines) </w:t>
                            </w:r>
                          </w:p>
                          <w:p w:rsidR="00177C38" w:rsidRPr="009A4F86" w:rsidRDefault="00177C38" w:rsidP="00177C38">
                            <w:pPr>
                              <w:pStyle w:val="BodyText"/>
                              <w:spacing w:line="242" w:lineRule="auto"/>
                              <w:ind w:left="108" w:right="295"/>
                            </w:pPr>
                          </w:p>
                          <w:p w:rsidR="00177C38" w:rsidRPr="009A4F86" w:rsidRDefault="00177C38" w:rsidP="00177C38">
                            <w:pPr>
                              <w:pStyle w:val="BodyText"/>
                              <w:spacing w:line="242" w:lineRule="auto"/>
                              <w:ind w:left="108" w:right="295"/>
                            </w:pPr>
                            <w:r w:rsidRPr="009A4F86">
                              <w:rPr>
                                <w:i/>
                              </w:rPr>
                              <w:t>Elderly:</w:t>
                            </w:r>
                            <w:r w:rsidRPr="009A4F86">
                              <w:t xml:space="preserve"> Agomelatine should not be prescribed for patients 75 years of age or over</w:t>
                            </w:r>
                          </w:p>
                          <w:p w:rsidR="00177C38" w:rsidRPr="009A4F86" w:rsidRDefault="00177C38" w:rsidP="00177C38">
                            <w:pPr>
                              <w:pStyle w:val="BodyText"/>
                              <w:spacing w:line="242" w:lineRule="auto"/>
                              <w:ind w:left="108" w:right="295"/>
                            </w:pPr>
                          </w:p>
                          <w:p w:rsidR="00177C38" w:rsidRPr="009A4F86" w:rsidRDefault="00177C38" w:rsidP="00177C38">
                            <w:pPr>
                              <w:pStyle w:val="BodyText"/>
                              <w:spacing w:line="242" w:lineRule="auto"/>
                              <w:ind w:left="108" w:right="295"/>
                              <w:rPr>
                                <w:b/>
                              </w:rPr>
                            </w:pPr>
                            <w:r w:rsidRPr="009A4F86">
                              <w:rPr>
                                <w:b/>
                              </w:rPr>
                              <w:t>CYP1A2 inhibitors</w:t>
                            </w:r>
                          </w:p>
                          <w:p w:rsidR="00177C38" w:rsidRPr="009A4F86" w:rsidRDefault="00177C38" w:rsidP="00177C38">
                            <w:pPr>
                              <w:pStyle w:val="BodyText"/>
                              <w:spacing w:line="242" w:lineRule="auto"/>
                              <w:ind w:left="108" w:right="295"/>
                            </w:pPr>
                            <w:r w:rsidRPr="009A4F86">
                              <w:t xml:space="preserve">Agomelatine is metabolised (90%) by CYP1A2.  </w:t>
                            </w:r>
                          </w:p>
                          <w:p w:rsidR="00177C38" w:rsidRPr="009A4F86" w:rsidRDefault="00177C38" w:rsidP="00177C38">
                            <w:pPr>
                              <w:pStyle w:val="BodyText"/>
                              <w:spacing w:line="242" w:lineRule="auto"/>
                              <w:ind w:left="108" w:right="295"/>
                            </w:pPr>
                            <w:r w:rsidRPr="009A4F86">
                              <w:t xml:space="preserve">Caution should be exercised when prescribing </w:t>
                            </w:r>
                            <w:r w:rsidR="006F218E" w:rsidRPr="009A4F86">
                              <w:t xml:space="preserve">Agomelatine </w:t>
                            </w:r>
                            <w:r w:rsidRPr="009A4F86">
                              <w:t xml:space="preserve">with moderate CYP1A2 inhibitors (e.g. propranolol, </w:t>
                            </w:r>
                            <w:proofErr w:type="spellStart"/>
                            <w:r w:rsidRPr="009A4F86">
                              <w:t>enoxacin</w:t>
                            </w:r>
                            <w:proofErr w:type="spellEnd"/>
                            <w:r w:rsidRPr="009A4F86">
                              <w:t>) which may result in increased exposure of agomelatine.</w:t>
                            </w:r>
                          </w:p>
                          <w:p w:rsidR="00177C38" w:rsidRPr="009A4F86" w:rsidRDefault="006F218E" w:rsidP="00177C38">
                            <w:pPr>
                              <w:pStyle w:val="BodyText"/>
                              <w:spacing w:line="242" w:lineRule="auto"/>
                              <w:ind w:left="108" w:right="295"/>
                            </w:pPr>
                            <w:r>
                              <w:t>C</w:t>
                            </w:r>
                            <w:r w:rsidR="00177C38" w:rsidRPr="009A4F86">
                              <w:t xml:space="preserve">o-administration of </w:t>
                            </w:r>
                            <w:r w:rsidRPr="009A4F86">
                              <w:t xml:space="preserve">Agomelatine </w:t>
                            </w:r>
                            <w:r w:rsidR="00177C38" w:rsidRPr="009A4F86">
                              <w:t>with potent CYP1A2 inhibitors (e.g. fluvoxamine, ciprofloxacin) is contraindicated.</w:t>
                            </w:r>
                          </w:p>
                          <w:p w:rsidR="00177C38" w:rsidRPr="009A4F86" w:rsidRDefault="00177C38" w:rsidP="00177C3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15pt;margin-top:12pt;width:456.9pt;height:3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QJPAIAAG8EAAAOAAAAZHJzL2Uyb0RvYy54bWysVMtu2zAQvBfoPxC815IVO7UFy0HqNEWB&#10;9AEk/QCKoiyiJJclaUvp12dJOY7S3opeCD5Ws7Mzu9pcDVqRo3BegqnofJZTIgyHRpp9RX883L5b&#10;UeIDMw1TYERFH4WnV9u3bza9LUUBHahGOIIgxpe9rWgXgi2zzPNOaOZnYIXBxxacZgGPbp81jvWI&#10;rlVW5Pll1oNrrAMuvMfbm/GRbhN+2woevrWtF4GoiiK3kFaX1jqu2XbDyr1jtpP8RIP9AwvNpMGk&#10;Z6gbFhg5OPkXlJbcgYc2zDjoDNpWcpFqwGrm+R/V3HfMilQLiuPtWSb//2D51+N3R2RT0YISwzRa&#10;9CCGQD7AQIqoTm99iUH3FsPCgNfocqrU2zvgPz0xsOuY2Ytr56DvBGuQ3Tx+mU0+HXF8BKn7L9Bg&#10;GnYIkICG1ukoHYpBEB1dejw7E6lwvFyu8mJ9saCE49siv1gXl4ldxsrnz63z4ZMATeKmog6tT/Ds&#10;eOdDpMPK55CYzYOSza1UKh1iu4mdcuTIsFHq/ViiOmjkOt6tl3me2gVxUnfG8IT6CkkZ0ld0vSyW&#10;o0ivsrh9fc6BaBPAaZiWAUdCSV3R1TmIlVHaj6ZJDRuYVOMe2Shz0jrKOwodhnpIpiYjog81NI8o&#10;voNxAnBicdOB+01Jj91fUf/rwJygRH02aOB6vljEcUmHxfJ9gQc3famnL8xwhKpooGTc7kIasSit&#10;gWs0upXJghcmJ8rY1UnD0wTGsZmeU9TLf2L7BAAA//8DAFBLAwQUAAYACAAAACEAUsnNr90AAAAJ&#10;AQAADwAAAGRycy9kb3ducmV2LnhtbEyPwU7DMBBE70j9B2uReqNOW2TREKeqQL1UQogWDtyceJtE&#10;xOvIdtrw9ywnuO1oRrNviu3kenHBEDtPGpaLDARS7W1HjYb30/7uAURMhqzpPaGGb4ywLWc3hcmt&#10;v9IbXo6pEVxCMTca2pSGXMpYt+hMXPgBib2zD84klqGRNpgrl7terrJMSWc64g+tGfCpxfrrODoN&#10;7qWiwycdvLXjKTwn9fqBm7PW89tp9wgi4ZT+wvCLz+hQMlPlR7JR9KzVmpMaVvc8if3NOluCqDQo&#10;xYcsC/l/QfkDAAD//wMAUEsBAi0AFAAGAAgAAAAhALaDOJL+AAAA4QEAABMAAAAAAAAAAAAAAAAA&#10;AAAAAFtDb250ZW50X1R5cGVzXS54bWxQSwECLQAUAAYACAAAACEAOP0h/9YAAACUAQAACwAAAAAA&#10;AAAAAAAAAAAvAQAAX3JlbHMvLnJlbHNQSwECLQAUAAYACAAAACEADtPECTwCAABvBAAADgAAAAAA&#10;AAAAAAAAAAAuAgAAZHJzL2Uyb0RvYy54bWxQSwECLQAUAAYACAAAACEAUsnNr90AAAAJAQAADwAA&#10;AAAAAAAAAAAAAACWBAAAZHJzL2Rvd25yZXYueG1sUEsFBgAAAAAEAAQA8wAAAKAFAAAAAA==&#10;" fillcolor="#f2f2f2 [3052]">
                <v:textbox>
                  <w:txbxContent>
                    <w:p w:rsidR="00177C38" w:rsidRPr="009A4F86" w:rsidRDefault="00177C38" w:rsidP="00177C38">
                      <w:pPr>
                        <w:spacing w:before="14"/>
                        <w:ind w:left="108"/>
                        <w:rPr>
                          <w:rFonts w:ascii="Arial" w:hAnsi="Arial" w:cs="Arial"/>
                          <w:b/>
                        </w:rPr>
                      </w:pPr>
                      <w:r w:rsidRPr="009A4F86">
                        <w:rPr>
                          <w:rFonts w:ascii="Arial" w:hAnsi="Arial" w:cs="Arial"/>
                          <w:b/>
                        </w:rPr>
                        <w:t>Indication and Dosage</w:t>
                      </w:r>
                    </w:p>
                    <w:p w:rsidR="00177C38" w:rsidRPr="009A4F86" w:rsidRDefault="00177C38" w:rsidP="00177C38">
                      <w:pPr>
                        <w:pStyle w:val="BodyText"/>
                        <w:spacing w:before="1" w:line="242" w:lineRule="auto"/>
                        <w:ind w:left="108" w:right="181"/>
                      </w:pPr>
                      <w:r w:rsidRPr="009A4F86">
                        <w:rPr>
                          <w:b/>
                        </w:rPr>
                        <w:t>Indication:</w:t>
                      </w:r>
                      <w:r w:rsidRPr="009A4F86">
                        <w:t xml:space="preserve"> Agomelatine is licensed for the treatment of major depressive episodes in adults</w:t>
                      </w:r>
                    </w:p>
                    <w:p w:rsidR="00177C38" w:rsidRPr="009A4F86" w:rsidRDefault="00177C38" w:rsidP="00177C38">
                      <w:pPr>
                        <w:pStyle w:val="BodyText"/>
                        <w:spacing w:before="1" w:line="242" w:lineRule="auto"/>
                        <w:ind w:left="108" w:right="181"/>
                      </w:pPr>
                    </w:p>
                    <w:p w:rsidR="00177C38" w:rsidRPr="009A4F86" w:rsidRDefault="00177C38" w:rsidP="00177C38">
                      <w:pPr>
                        <w:spacing w:before="87"/>
                        <w:ind w:left="108"/>
                        <w:rPr>
                          <w:rFonts w:ascii="Arial" w:hAnsi="Arial" w:cs="Arial"/>
                          <w:sz w:val="20"/>
                          <w:szCs w:val="20"/>
                        </w:rPr>
                      </w:pPr>
                      <w:r w:rsidRPr="009A4F86">
                        <w:rPr>
                          <w:rFonts w:ascii="Arial" w:hAnsi="Arial" w:cs="Arial"/>
                          <w:b/>
                          <w:sz w:val="20"/>
                          <w:szCs w:val="20"/>
                        </w:rPr>
                        <w:t>Presentation:</w:t>
                      </w:r>
                      <w:r w:rsidRPr="009A4F86">
                        <w:rPr>
                          <w:rFonts w:ascii="Arial" w:hAnsi="Arial" w:cs="Arial"/>
                          <w:sz w:val="20"/>
                          <w:szCs w:val="20"/>
                        </w:rPr>
                        <w:t xml:space="preserve"> Tablet 25mg </w:t>
                      </w:r>
                    </w:p>
                    <w:p w:rsidR="00177C38" w:rsidRPr="009A4F86" w:rsidRDefault="00177C38" w:rsidP="00177C38">
                      <w:pPr>
                        <w:pStyle w:val="BodyText"/>
                        <w:spacing w:line="242" w:lineRule="auto"/>
                        <w:ind w:left="108" w:right="439"/>
                        <w:jc w:val="both"/>
                      </w:pPr>
                      <w:r w:rsidRPr="009A4F86">
                        <w:rPr>
                          <w:b/>
                        </w:rPr>
                        <w:t xml:space="preserve">Dosage and Administration: </w:t>
                      </w:r>
                      <w:r w:rsidRPr="009A4F86">
                        <w:t xml:space="preserve">The recommended dose is 25 mg once daily taken orally at bedtime. </w:t>
                      </w:r>
                    </w:p>
                    <w:p w:rsidR="00177C38" w:rsidRPr="009A4F86" w:rsidRDefault="00177C38" w:rsidP="00177C38">
                      <w:pPr>
                        <w:pStyle w:val="BodyText"/>
                        <w:spacing w:line="242" w:lineRule="auto"/>
                        <w:ind w:left="108" w:right="439"/>
                        <w:jc w:val="both"/>
                      </w:pPr>
                    </w:p>
                    <w:p w:rsidR="00177C38" w:rsidRPr="009A4F86" w:rsidRDefault="00177C38" w:rsidP="00177C38">
                      <w:pPr>
                        <w:pStyle w:val="BodyText"/>
                        <w:spacing w:line="242" w:lineRule="auto"/>
                        <w:ind w:left="108" w:right="439"/>
                        <w:jc w:val="both"/>
                      </w:pPr>
                      <w:r w:rsidRPr="009A4F86">
                        <w:t>After two weeks of treatment, if there is no improvement of symptoms, the dose may be increased to 50 mg once daily, i.e. two 25 mg tablets, taken together at bedtime.</w:t>
                      </w:r>
                    </w:p>
                    <w:p w:rsidR="00177C38" w:rsidRPr="009A4F86" w:rsidRDefault="00177C38" w:rsidP="00177C38">
                      <w:pPr>
                        <w:pStyle w:val="BodyText"/>
                        <w:spacing w:line="242" w:lineRule="auto"/>
                        <w:ind w:left="108" w:right="439"/>
                        <w:jc w:val="both"/>
                      </w:pPr>
                    </w:p>
                    <w:p w:rsidR="00177C38" w:rsidRPr="009A4F86" w:rsidRDefault="00177C38" w:rsidP="00177C38">
                      <w:pPr>
                        <w:pStyle w:val="BodyText"/>
                        <w:spacing w:before="1" w:line="242" w:lineRule="auto"/>
                        <w:ind w:left="108"/>
                      </w:pPr>
                      <w:r w:rsidRPr="009A4F86">
                        <w:rPr>
                          <w:i/>
                        </w:rPr>
                        <w:t xml:space="preserve">Renal impairment: </w:t>
                      </w:r>
                      <w:r w:rsidRPr="009A4F86">
                        <w:t xml:space="preserve">No dose adjustment is </w:t>
                      </w:r>
                      <w:proofErr w:type="gramStart"/>
                      <w:r w:rsidRPr="009A4F86">
                        <w:t>required,</w:t>
                      </w:r>
                      <w:proofErr w:type="gramEnd"/>
                      <w:r w:rsidRPr="009A4F86">
                        <w:t xml:space="preserve"> however caution should be exercised when prescribing agomelatine to patients with moderate or severe renal impairment.</w:t>
                      </w:r>
                    </w:p>
                    <w:p w:rsidR="00177C38" w:rsidRPr="009A4F86" w:rsidRDefault="00177C38" w:rsidP="00177C38">
                      <w:pPr>
                        <w:pStyle w:val="BodyText"/>
                        <w:spacing w:before="1" w:line="242" w:lineRule="auto"/>
                        <w:ind w:left="108"/>
                        <w:rPr>
                          <w:b/>
                        </w:rPr>
                      </w:pPr>
                    </w:p>
                    <w:p w:rsidR="00177C38" w:rsidRPr="009A4F86" w:rsidRDefault="00177C38" w:rsidP="00177C38">
                      <w:pPr>
                        <w:pStyle w:val="BodyText"/>
                        <w:spacing w:line="242" w:lineRule="auto"/>
                        <w:ind w:left="108" w:right="295"/>
                      </w:pPr>
                      <w:r w:rsidRPr="009A4F86">
                        <w:rPr>
                          <w:i/>
                        </w:rPr>
                        <w:t xml:space="preserve">Hepatic impairment:  </w:t>
                      </w:r>
                      <w:r w:rsidRPr="009A4F86">
                        <w:t xml:space="preserve">Agomelatine is contraindicated in patients with hepatic impairment (see monitoring guidelines) </w:t>
                      </w:r>
                    </w:p>
                    <w:p w:rsidR="00177C38" w:rsidRPr="009A4F86" w:rsidRDefault="00177C38" w:rsidP="00177C38">
                      <w:pPr>
                        <w:pStyle w:val="BodyText"/>
                        <w:spacing w:line="242" w:lineRule="auto"/>
                        <w:ind w:left="108" w:right="295"/>
                      </w:pPr>
                    </w:p>
                    <w:p w:rsidR="00177C38" w:rsidRPr="009A4F86" w:rsidRDefault="00177C38" w:rsidP="00177C38">
                      <w:pPr>
                        <w:pStyle w:val="BodyText"/>
                        <w:spacing w:line="242" w:lineRule="auto"/>
                        <w:ind w:left="108" w:right="295"/>
                      </w:pPr>
                      <w:r w:rsidRPr="009A4F86">
                        <w:rPr>
                          <w:i/>
                        </w:rPr>
                        <w:t>Elderly:</w:t>
                      </w:r>
                      <w:r w:rsidRPr="009A4F86">
                        <w:t xml:space="preserve"> Agomelatine should not be prescribed for patients 75 years of age or over</w:t>
                      </w:r>
                    </w:p>
                    <w:p w:rsidR="00177C38" w:rsidRPr="009A4F86" w:rsidRDefault="00177C38" w:rsidP="00177C38">
                      <w:pPr>
                        <w:pStyle w:val="BodyText"/>
                        <w:spacing w:line="242" w:lineRule="auto"/>
                        <w:ind w:left="108" w:right="295"/>
                      </w:pPr>
                    </w:p>
                    <w:p w:rsidR="00177C38" w:rsidRPr="009A4F86" w:rsidRDefault="00177C38" w:rsidP="00177C38">
                      <w:pPr>
                        <w:pStyle w:val="BodyText"/>
                        <w:spacing w:line="242" w:lineRule="auto"/>
                        <w:ind w:left="108" w:right="295"/>
                        <w:rPr>
                          <w:b/>
                        </w:rPr>
                      </w:pPr>
                      <w:r w:rsidRPr="009A4F86">
                        <w:rPr>
                          <w:b/>
                        </w:rPr>
                        <w:t>CYP1A2 inhibitors</w:t>
                      </w:r>
                    </w:p>
                    <w:p w:rsidR="00177C38" w:rsidRPr="009A4F86" w:rsidRDefault="00177C38" w:rsidP="00177C38">
                      <w:pPr>
                        <w:pStyle w:val="BodyText"/>
                        <w:spacing w:line="242" w:lineRule="auto"/>
                        <w:ind w:left="108" w:right="295"/>
                      </w:pPr>
                      <w:r w:rsidRPr="009A4F86">
                        <w:t xml:space="preserve">Agomelatine is metabolised (90%) by CYP1A2.  </w:t>
                      </w:r>
                    </w:p>
                    <w:p w:rsidR="00177C38" w:rsidRPr="009A4F86" w:rsidRDefault="00177C38" w:rsidP="00177C38">
                      <w:pPr>
                        <w:pStyle w:val="BodyText"/>
                        <w:spacing w:line="242" w:lineRule="auto"/>
                        <w:ind w:left="108" w:right="295"/>
                      </w:pPr>
                      <w:r w:rsidRPr="009A4F86">
                        <w:t xml:space="preserve">Caution should be exercised when prescribing </w:t>
                      </w:r>
                      <w:r w:rsidR="006F218E" w:rsidRPr="009A4F86">
                        <w:t xml:space="preserve">Agomelatine </w:t>
                      </w:r>
                      <w:r w:rsidRPr="009A4F86">
                        <w:t xml:space="preserve">with moderate CYP1A2 inhibitors (e.g. propranolol, </w:t>
                      </w:r>
                      <w:proofErr w:type="spellStart"/>
                      <w:r w:rsidRPr="009A4F86">
                        <w:t>enoxacin</w:t>
                      </w:r>
                      <w:proofErr w:type="spellEnd"/>
                      <w:r w:rsidRPr="009A4F86">
                        <w:t>) which may result in increased exposure of agomelatine.</w:t>
                      </w:r>
                    </w:p>
                    <w:p w:rsidR="00177C38" w:rsidRPr="009A4F86" w:rsidRDefault="006F218E" w:rsidP="00177C38">
                      <w:pPr>
                        <w:pStyle w:val="BodyText"/>
                        <w:spacing w:line="242" w:lineRule="auto"/>
                        <w:ind w:left="108" w:right="295"/>
                      </w:pPr>
                      <w:r>
                        <w:t>C</w:t>
                      </w:r>
                      <w:bookmarkStart w:id="1" w:name="_GoBack"/>
                      <w:bookmarkEnd w:id="1"/>
                      <w:r w:rsidR="00177C38" w:rsidRPr="009A4F86">
                        <w:t xml:space="preserve">o-administration of </w:t>
                      </w:r>
                      <w:r w:rsidRPr="009A4F86">
                        <w:t xml:space="preserve">Agomelatine </w:t>
                      </w:r>
                      <w:r w:rsidR="00177C38" w:rsidRPr="009A4F86">
                        <w:t>with potent CYP1A2 inhibitors (e.g. fluvoxamine, ciprofloxacin) is contraindicated.</w:t>
                      </w:r>
                    </w:p>
                    <w:p w:rsidR="00177C38" w:rsidRPr="009A4F86" w:rsidRDefault="00177C38" w:rsidP="00177C38">
                      <w:pPr>
                        <w:rPr>
                          <w:rFonts w:ascii="Arial" w:hAnsi="Arial" w:cs="Arial"/>
                          <w:sz w:val="20"/>
                          <w:szCs w:val="20"/>
                        </w:rPr>
                      </w:pPr>
                    </w:p>
                  </w:txbxContent>
                </v:textbox>
              </v:shape>
            </w:pict>
          </mc:Fallback>
        </mc:AlternateContent>
      </w: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6430BD" w:rsidRDefault="006430BD" w:rsidP="006430BD">
      <w:pPr>
        <w:rPr>
          <w:rFonts w:ascii="Arial" w:hAnsi="Arial" w:cs="Arial"/>
          <w:sz w:val="20"/>
          <w:szCs w:val="20"/>
        </w:rPr>
      </w:pPr>
      <w:r w:rsidRPr="00177C38">
        <w:rPr>
          <w:rFonts w:ascii="Arial" w:hAnsi="Arial" w:cs="Arial"/>
          <w:noProof/>
          <w:sz w:val="20"/>
          <w:szCs w:val="20"/>
          <w:lang w:eastAsia="en-GB"/>
        </w:rPr>
        <w:lastRenderedPageBreak/>
        <mc:AlternateContent>
          <mc:Choice Requires="wps">
            <w:drawing>
              <wp:anchor distT="0" distB="0" distL="114300" distR="114300" simplePos="0" relativeHeight="251665408" behindDoc="0" locked="0" layoutInCell="1" allowOverlap="1" wp14:anchorId="713C4EFA" wp14:editId="31AECFDF">
                <wp:simplePos x="0" y="0"/>
                <wp:positionH relativeFrom="column">
                  <wp:align>center</wp:align>
                </wp:positionH>
                <wp:positionV relativeFrom="paragraph">
                  <wp:posOffset>0</wp:posOffset>
                </wp:positionV>
                <wp:extent cx="5745922" cy="7999012"/>
                <wp:effectExtent l="0" t="0" r="2667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922" cy="7999012"/>
                        </a:xfrm>
                        <a:prstGeom prst="rect">
                          <a:avLst/>
                        </a:prstGeom>
                        <a:solidFill>
                          <a:schemeClr val="bg1">
                            <a:lumMod val="95000"/>
                          </a:schemeClr>
                        </a:solidFill>
                        <a:ln w="9525">
                          <a:solidFill>
                            <a:srgbClr val="000000"/>
                          </a:solidFill>
                          <a:miter lim="800000"/>
                          <a:headEnd/>
                          <a:tailEnd/>
                        </a:ln>
                      </wps:spPr>
                      <wps:txbx>
                        <w:txbxContent>
                          <w:p w:rsidR="006430BD" w:rsidRPr="00177C38" w:rsidRDefault="006430BD" w:rsidP="006430BD">
                            <w:pPr>
                              <w:spacing w:before="16"/>
                              <w:rPr>
                                <w:rFonts w:ascii="Arial" w:hAnsi="Arial" w:cs="Arial"/>
                                <w:b/>
                              </w:rPr>
                            </w:pPr>
                            <w:r w:rsidRPr="00177C38">
                              <w:rPr>
                                <w:rFonts w:ascii="Arial" w:hAnsi="Arial" w:cs="Arial"/>
                                <w:b/>
                              </w:rPr>
                              <w:t>Monitoring of liver function</w:t>
                            </w:r>
                          </w:p>
                          <w:p w:rsidR="006430BD" w:rsidRPr="00EE6401" w:rsidRDefault="006430BD" w:rsidP="006430BD">
                            <w:pPr>
                              <w:pStyle w:val="BodyText"/>
                              <w:spacing w:before="8"/>
                              <w:rPr>
                                <w:b/>
                              </w:rPr>
                            </w:pPr>
                            <w:r w:rsidRPr="00EE6401">
                              <w:rPr>
                                <w:b/>
                              </w:rPr>
                              <w:t xml:space="preserve">Before starting treatment </w:t>
                            </w:r>
                          </w:p>
                          <w:p w:rsidR="006430BD" w:rsidRDefault="006430BD" w:rsidP="006430BD">
                            <w:pPr>
                              <w:pStyle w:val="BodyText"/>
                              <w:spacing w:before="8"/>
                            </w:pPr>
                          </w:p>
                          <w:p w:rsidR="006430BD" w:rsidRDefault="006430BD" w:rsidP="006430BD">
                            <w:pPr>
                              <w:pStyle w:val="BodyText"/>
                              <w:spacing w:before="8"/>
                            </w:pPr>
                            <w:r>
                              <w:t>Treatment with Agomelatine should only be prescribed after careful consideration of benefit and risk in patients with hepatic injury risk factors e.g.:</w:t>
                            </w:r>
                          </w:p>
                          <w:p w:rsidR="006430BD" w:rsidRDefault="006430BD" w:rsidP="006430BD">
                            <w:pPr>
                              <w:pStyle w:val="BodyText"/>
                              <w:spacing w:before="8"/>
                            </w:pPr>
                            <w:r>
                              <w:t>- obesity/overweight/non-alcoholic fatty liver disease, diabetes</w:t>
                            </w:r>
                          </w:p>
                          <w:p w:rsidR="006430BD" w:rsidRDefault="006430BD" w:rsidP="006430BD">
                            <w:pPr>
                              <w:pStyle w:val="BodyText"/>
                              <w:spacing w:before="8"/>
                            </w:pPr>
                            <w:r>
                              <w:t>- alcohol use disorder and /or substantial alcohol intake</w:t>
                            </w:r>
                          </w:p>
                          <w:p w:rsidR="006430BD" w:rsidRDefault="006430BD" w:rsidP="006430BD">
                            <w:pPr>
                              <w:pStyle w:val="BodyText"/>
                              <w:spacing w:before="8"/>
                            </w:pPr>
                            <w:r>
                              <w:t xml:space="preserve">and in patients receiving concomitant medicinal products associated with risk of hepatic injury. </w:t>
                            </w:r>
                          </w:p>
                          <w:p w:rsidR="006430BD" w:rsidRDefault="006430BD" w:rsidP="006430BD">
                            <w:pPr>
                              <w:pStyle w:val="BodyText"/>
                              <w:spacing w:before="8"/>
                            </w:pPr>
                          </w:p>
                          <w:p w:rsidR="006430BD" w:rsidRDefault="006430BD" w:rsidP="006430BD">
                            <w:pPr>
                              <w:pStyle w:val="BodyText"/>
                              <w:spacing w:before="8"/>
                            </w:pPr>
                            <w:r>
                              <w:t xml:space="preserve">Baseline liver function tests should be undertaken in all patients and treatment should not be initiated in patients with baseline values of ALT and/or AST &gt;3 X upper limit of normal. Caution should be exercised when Agomelatine is administered to patients with </w:t>
                            </w:r>
                            <w:proofErr w:type="spellStart"/>
                            <w:r>
                              <w:t>pretreatment</w:t>
                            </w:r>
                            <w:proofErr w:type="spellEnd"/>
                            <w:r>
                              <w:t xml:space="preserve"> elevated transaminases (&gt; the upper limit of the normal ranges and ≤3 times the upper limit of the normal range).</w:t>
                            </w:r>
                          </w:p>
                          <w:p w:rsidR="00714DE8" w:rsidRDefault="00714DE8" w:rsidP="006430BD">
                            <w:pPr>
                              <w:pStyle w:val="BodyText"/>
                              <w:spacing w:before="8"/>
                            </w:pPr>
                          </w:p>
                          <w:p w:rsidR="00714DE8" w:rsidRDefault="00714DE8" w:rsidP="006430BD">
                            <w:pPr>
                              <w:pStyle w:val="BodyText"/>
                              <w:spacing w:before="8"/>
                            </w:pPr>
                            <w:r>
                              <w:t xml:space="preserve">Patients should be supplied with an alert card, available on the </w:t>
                            </w:r>
                            <w:proofErr w:type="spellStart"/>
                            <w:r>
                              <w:t>eMC</w:t>
                            </w:r>
                            <w:proofErr w:type="spellEnd"/>
                            <w:r>
                              <w:t xml:space="preserve"> website: </w:t>
                            </w:r>
                            <w:hyperlink r:id="rId8" w:history="1">
                              <w:r w:rsidRPr="00375914">
                                <w:rPr>
                                  <w:rStyle w:val="Hyperlink"/>
                                </w:rPr>
                                <w:t>https://www.medicines.org.uk/emc/rmm-directory/V</w:t>
                              </w:r>
                            </w:hyperlink>
                            <w:r>
                              <w:t xml:space="preserve"> </w:t>
                            </w:r>
                          </w:p>
                          <w:p w:rsidR="006430BD" w:rsidRDefault="006430BD" w:rsidP="006430BD">
                            <w:pPr>
                              <w:pStyle w:val="BodyText"/>
                              <w:spacing w:before="8"/>
                            </w:pPr>
                          </w:p>
                          <w:p w:rsidR="006430BD" w:rsidRPr="00EE6401" w:rsidRDefault="006430BD" w:rsidP="006430BD">
                            <w:pPr>
                              <w:pStyle w:val="BodyText"/>
                              <w:spacing w:before="8"/>
                              <w:rPr>
                                <w:b/>
                              </w:rPr>
                            </w:pPr>
                            <w:r w:rsidRPr="00EE6401">
                              <w:rPr>
                                <w:b/>
                              </w:rPr>
                              <w:t xml:space="preserve">Frequency of liver function tests </w:t>
                            </w:r>
                          </w:p>
                          <w:p w:rsidR="006430BD" w:rsidRDefault="006430BD" w:rsidP="006430BD">
                            <w:pPr>
                              <w:pStyle w:val="BodyText"/>
                              <w:spacing w:before="8"/>
                            </w:pPr>
                            <w:r>
                              <w:t>- before starting treatment</w:t>
                            </w:r>
                          </w:p>
                          <w:p w:rsidR="006430BD" w:rsidRDefault="006430BD" w:rsidP="006430BD">
                            <w:pPr>
                              <w:pStyle w:val="BodyText"/>
                              <w:spacing w:before="8"/>
                            </w:pPr>
                            <w:r>
                              <w:t>- and then:</w:t>
                            </w:r>
                          </w:p>
                          <w:p w:rsidR="006430BD" w:rsidRDefault="006430BD" w:rsidP="006430BD">
                            <w:pPr>
                              <w:pStyle w:val="BodyText"/>
                              <w:spacing w:before="8"/>
                            </w:pPr>
                            <w:r>
                              <w:t xml:space="preserve">- after around 3 weeks, </w:t>
                            </w:r>
                          </w:p>
                          <w:p w:rsidR="006430BD" w:rsidRDefault="006430BD" w:rsidP="006430BD">
                            <w:pPr>
                              <w:pStyle w:val="BodyText"/>
                              <w:spacing w:before="8"/>
                            </w:pPr>
                            <w:r>
                              <w:t>- after around 6 weeks (end of acute phase),</w:t>
                            </w:r>
                          </w:p>
                          <w:p w:rsidR="006430BD" w:rsidRDefault="006430BD" w:rsidP="006430BD">
                            <w:pPr>
                              <w:pStyle w:val="BodyText"/>
                              <w:spacing w:before="8"/>
                            </w:pPr>
                            <w:r>
                              <w:t xml:space="preserve">- after around 12 and 24 weeks (end of maintenance phase) </w:t>
                            </w:r>
                          </w:p>
                          <w:p w:rsidR="006430BD" w:rsidRDefault="006430BD" w:rsidP="006430BD">
                            <w:pPr>
                              <w:pStyle w:val="BodyText"/>
                              <w:spacing w:before="8"/>
                            </w:pPr>
                            <w:r>
                              <w:t>- and thereafter when clinically indicated.</w:t>
                            </w:r>
                          </w:p>
                          <w:p w:rsidR="006430BD" w:rsidRDefault="006430BD" w:rsidP="006430BD">
                            <w:pPr>
                              <w:pStyle w:val="BodyText"/>
                              <w:spacing w:before="8"/>
                            </w:pPr>
                            <w:r>
                              <w:t xml:space="preserve"> </w:t>
                            </w:r>
                          </w:p>
                          <w:p w:rsidR="006430BD" w:rsidRDefault="006430BD" w:rsidP="006430BD">
                            <w:pPr>
                              <w:pStyle w:val="BodyText"/>
                              <w:spacing w:before="8"/>
                            </w:pPr>
                            <w:r>
                              <w:t>- When increasing the dosage, liver function tests should again be performed at the same frequency as when initiating treatment.</w:t>
                            </w:r>
                          </w:p>
                          <w:p w:rsidR="006430BD" w:rsidRDefault="006430BD" w:rsidP="006430BD">
                            <w:pPr>
                              <w:pStyle w:val="BodyText"/>
                              <w:spacing w:before="8"/>
                            </w:pPr>
                          </w:p>
                          <w:p w:rsidR="006430BD" w:rsidRDefault="006430BD" w:rsidP="006430BD">
                            <w:pPr>
                              <w:pStyle w:val="BodyText"/>
                              <w:spacing w:before="8"/>
                            </w:pPr>
                            <w:r>
                              <w:t>Any patient who develops increased serum transaminases should have his/her liver function tests repeated within 48 hours.</w:t>
                            </w:r>
                          </w:p>
                          <w:p w:rsidR="006430BD" w:rsidRDefault="006430BD" w:rsidP="006430BD">
                            <w:pPr>
                              <w:pStyle w:val="BodyText"/>
                              <w:spacing w:before="8"/>
                            </w:pPr>
                          </w:p>
                          <w:p w:rsidR="006430BD" w:rsidRPr="00EE6401" w:rsidRDefault="006430BD" w:rsidP="006430BD">
                            <w:pPr>
                              <w:pStyle w:val="BodyText"/>
                              <w:spacing w:before="8"/>
                              <w:rPr>
                                <w:b/>
                              </w:rPr>
                            </w:pPr>
                            <w:r w:rsidRPr="00EE6401">
                              <w:rPr>
                                <w:b/>
                              </w:rPr>
                              <w:t xml:space="preserve">During treatment period </w:t>
                            </w:r>
                          </w:p>
                          <w:p w:rsidR="006430BD" w:rsidRDefault="006430BD" w:rsidP="006430BD">
                            <w:pPr>
                              <w:pStyle w:val="BodyText"/>
                              <w:spacing w:before="8"/>
                            </w:pPr>
                          </w:p>
                          <w:p w:rsidR="006430BD" w:rsidRDefault="006430BD" w:rsidP="006430BD">
                            <w:pPr>
                              <w:pStyle w:val="BodyText"/>
                              <w:spacing w:before="8"/>
                            </w:pPr>
                            <w:r>
                              <w:t>Agomelatine treatment should be discontinued immediately if:</w:t>
                            </w:r>
                          </w:p>
                          <w:p w:rsidR="006430BD" w:rsidRDefault="006430BD" w:rsidP="006430BD">
                            <w:pPr>
                              <w:pStyle w:val="BodyText"/>
                              <w:spacing w:before="8"/>
                            </w:pPr>
                            <w:r>
                              <w:rPr>
                                <w:rFonts w:ascii="Cambria Math" w:hAnsi="Cambria Math" w:cs="Cambria Math"/>
                              </w:rPr>
                              <w:t>‐</w:t>
                            </w:r>
                            <w:r>
                              <w:t xml:space="preserve"> patient develops symptoms or signs of potential liver injury (such as dark urine, light coloured stools, yellow skin/eyes, pain in the upper right belly, sustained new-onset and unexplained fatigue).</w:t>
                            </w:r>
                          </w:p>
                          <w:p w:rsidR="006430BD" w:rsidRDefault="006430BD" w:rsidP="006430BD">
                            <w:pPr>
                              <w:pStyle w:val="BodyText"/>
                              <w:spacing w:before="8"/>
                            </w:pPr>
                            <w:r>
                              <w:rPr>
                                <w:rFonts w:ascii="Cambria Math" w:hAnsi="Cambria Math" w:cs="Cambria Math"/>
                              </w:rPr>
                              <w:t>‐</w:t>
                            </w:r>
                            <w:r>
                              <w:t xml:space="preserve"> the increase in serum transaminases exceeds 3 X upper limit of normal.</w:t>
                            </w:r>
                          </w:p>
                          <w:p w:rsidR="006430BD" w:rsidRDefault="006430BD" w:rsidP="006430BD">
                            <w:pPr>
                              <w:pStyle w:val="BodyText"/>
                              <w:spacing w:before="8"/>
                            </w:pPr>
                          </w:p>
                          <w:p w:rsidR="006430BD" w:rsidRDefault="006430BD" w:rsidP="006430BD">
                            <w:pPr>
                              <w:pStyle w:val="BodyText"/>
                              <w:spacing w:before="8"/>
                            </w:pPr>
                            <w:r>
                              <w:t>Following discontinuation of Agomelatine therapy liver function tests should be repeated until serum transaminases return to normal.</w:t>
                            </w:r>
                          </w:p>
                          <w:p w:rsidR="00500211" w:rsidRDefault="00500211" w:rsidP="006430BD">
                            <w:pPr>
                              <w:pStyle w:val="BodyText"/>
                              <w:spacing w:before="8"/>
                            </w:pPr>
                          </w:p>
                          <w:p w:rsidR="00500211" w:rsidRDefault="00500211" w:rsidP="00500211">
                            <w:pPr>
                              <w:pStyle w:val="BodyText"/>
                              <w:spacing w:before="8"/>
                            </w:pPr>
                            <w:r>
                              <w:t xml:space="preserve">A chart summarising liver enzyme monitoring is available on the </w:t>
                            </w:r>
                            <w:proofErr w:type="spellStart"/>
                            <w:r>
                              <w:t>eMC</w:t>
                            </w:r>
                            <w:proofErr w:type="spellEnd"/>
                            <w:r>
                              <w:t xml:space="preserve"> website: </w:t>
                            </w:r>
                            <w:hyperlink r:id="rId9" w:history="1">
                              <w:r w:rsidRPr="00375914">
                                <w:rPr>
                                  <w:rStyle w:val="Hyperlink"/>
                                </w:rPr>
                                <w:t>https://www.medicines.org.uk/emc/rmm-directory/V</w:t>
                              </w:r>
                            </w:hyperlink>
                            <w:r>
                              <w:t xml:space="preserve"> </w:t>
                            </w:r>
                          </w:p>
                          <w:p w:rsidR="00500211" w:rsidRDefault="00500211" w:rsidP="006430BD">
                            <w:pPr>
                              <w:pStyle w:val="BodyText"/>
                              <w:spacing w:before="8"/>
                            </w:pPr>
                          </w:p>
                          <w:p w:rsidR="006430BD" w:rsidRDefault="006430BD" w:rsidP="006430BD">
                            <w:pPr>
                              <w:pStyle w:val="BodyText"/>
                              <w:spacing w:before="8"/>
                            </w:pPr>
                          </w:p>
                          <w:p w:rsidR="006430BD" w:rsidRPr="00177C38" w:rsidRDefault="006430BD" w:rsidP="006430BD">
                            <w:pPr>
                              <w:rPr>
                                <w:rFonts w:ascii="Arial" w:hAnsi="Arial" w:cs="Arial"/>
                                <w:b/>
                                <w:sz w:val="20"/>
                              </w:rPr>
                            </w:pPr>
                            <w:r w:rsidRPr="00177C38">
                              <w:rPr>
                                <w:rFonts w:ascii="Arial" w:hAnsi="Arial" w:cs="Arial"/>
                                <w:b/>
                                <w:sz w:val="20"/>
                              </w:rPr>
                              <w:t>End of treatment</w:t>
                            </w:r>
                          </w:p>
                          <w:p w:rsidR="006430BD" w:rsidRDefault="006430BD" w:rsidP="006430BD">
                            <w:pPr>
                              <w:pStyle w:val="BodyText"/>
                              <w:spacing w:before="3"/>
                            </w:pPr>
                            <w:r>
                              <w:t>Agomelatine can be discontinued without down titration</w:t>
                            </w:r>
                          </w:p>
                          <w:p w:rsidR="006430BD" w:rsidRDefault="006430BD" w:rsidP="00643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452.45pt;height:62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0FPQIAAG8EAAAOAAAAZHJzL2Uyb0RvYy54bWysVNtu2zAMfR+wfxD0vtjx4qU24hRdug4D&#10;ugvQ7gNkWbaFSaInKbGzry8lp1m6vQ17EUSRPjw8JL25nrQiB2GdBFPR5SKlRBgOjTRdRb8/3r25&#10;osR5ZhqmwIiKHoWj19vXrzbjUIoMelCNsARBjCvHoaK990OZJI73QjO3gEEYdLZgNfNo2i5pLBsR&#10;XaskS9N3yQi2GSxw4Ry+3s5Ouo34bSu4/9q2TniiKorcfDxtPOtwJtsNKzvLhl7yEw32Dyw0kwaT&#10;nqFumWdkb+VfUFpyCw5av+CgE2hbyUWsAatZpn9U89CzQcRaUBw3nGVy/w+Wfzl8s0Q2FX1LiWEa&#10;W/QoJk/ew0SyoM44uBKDHgYM8xM+Y5djpW64B/7DEQO7nplO3FgLYy9Yg+yW4cvk4tMZxwWQevwM&#10;DaZhew8RaGqtDtKhGATRsUvHc2cCFY6P+XqVF1lGCUffuiiKdBnZJax8/nywzn8UoEm4VNRi6yM8&#10;O9w7H+iw8jkkZHOgZHMnlYpGGDexU5YcGA5K3c0lqr1GrvNbkadpHBfEidMZwiPqCyRlyFjRIs/y&#10;WaQXWWxXn3Mg2gXgZZiWHldCSV3Rq3MQK4O0H0wTB9YzqeY7slHmpHWQdxbaT/UUm3puYQ3NEcW3&#10;MG8AbixeerC/KBlx+ivqfu6ZFZSoTwYbWCxXq7Au0Vjl6wwNe+mpLz3McISqqKdkvu58XLEgrYEb&#10;bHQrYwvCRMxMTpRxqqOGpw0Ma3Npx6jf/4ntEwAAAP//AwBQSwMEFAAGAAgAAAAhAFGaWVzbAAAA&#10;BgEAAA8AAABkcnMvZG93bnJldi54bWxMj0FLw0AQhe+C/2EZwZvdWLSamE0RxUtBxFYP3ibZaRLM&#10;zobdTRv/vaMXvTwY3uO9b8r17AZ1oBB7zwYuFxko4sbbnlsDb7uni1tQMSFbHDyTgS+KsK5OT0os&#10;rD/yKx22qVVSwrFAA11KY6F1bDpyGBd+JBZv74PDJGdotQ14lHI36GWWrbTDnmWhw5EeOmo+t5Mz&#10;4J5r3nzwxls77cJjWr28U7435vxsvr8DlWhOf2H4wRd0qISp9hPbqAYD8kj6VfHy7CoHVUtoeZ3f&#10;gK5K/R+/+gYAAP//AwBQSwECLQAUAAYACAAAACEAtoM4kv4AAADhAQAAEwAAAAAAAAAAAAAAAAAA&#10;AAAAW0NvbnRlbnRfVHlwZXNdLnhtbFBLAQItABQABgAIAAAAIQA4/SH/1gAAAJQBAAALAAAAAAAA&#10;AAAAAAAAAC8BAABfcmVscy8ucmVsc1BLAQItABQABgAIAAAAIQBmOU0FPQIAAG8EAAAOAAAAAAAA&#10;AAAAAAAAAC4CAABkcnMvZTJvRG9jLnhtbFBLAQItABQABgAIAAAAIQBRmllc2wAAAAYBAAAPAAAA&#10;AAAAAAAAAAAAAJcEAABkcnMvZG93bnJldi54bWxQSwUGAAAAAAQABADzAAAAnwUAAAAA&#10;" fillcolor="#f2f2f2 [3052]">
                <v:textbox>
                  <w:txbxContent>
                    <w:p w:rsidR="006430BD" w:rsidRPr="00177C38" w:rsidRDefault="006430BD" w:rsidP="006430BD">
                      <w:pPr>
                        <w:spacing w:before="16"/>
                        <w:rPr>
                          <w:rFonts w:ascii="Arial" w:hAnsi="Arial" w:cs="Arial"/>
                          <w:b/>
                        </w:rPr>
                      </w:pPr>
                      <w:bookmarkStart w:id="1" w:name="_GoBack"/>
                      <w:r w:rsidRPr="00177C38">
                        <w:rPr>
                          <w:rFonts w:ascii="Arial" w:hAnsi="Arial" w:cs="Arial"/>
                          <w:b/>
                        </w:rPr>
                        <w:t>Monitoring of liver function</w:t>
                      </w:r>
                    </w:p>
                    <w:p w:rsidR="006430BD" w:rsidRPr="00EE6401" w:rsidRDefault="006430BD" w:rsidP="006430BD">
                      <w:pPr>
                        <w:pStyle w:val="BodyText"/>
                        <w:spacing w:before="8"/>
                        <w:rPr>
                          <w:b/>
                        </w:rPr>
                      </w:pPr>
                      <w:r w:rsidRPr="00EE6401">
                        <w:rPr>
                          <w:b/>
                        </w:rPr>
                        <w:t xml:space="preserve">Before starting treatment </w:t>
                      </w:r>
                    </w:p>
                    <w:p w:rsidR="006430BD" w:rsidRDefault="006430BD" w:rsidP="006430BD">
                      <w:pPr>
                        <w:pStyle w:val="BodyText"/>
                        <w:spacing w:before="8"/>
                      </w:pPr>
                    </w:p>
                    <w:p w:rsidR="006430BD" w:rsidRDefault="006430BD" w:rsidP="006430BD">
                      <w:pPr>
                        <w:pStyle w:val="BodyText"/>
                        <w:spacing w:before="8"/>
                      </w:pPr>
                      <w:r>
                        <w:t>Treatment with Agomelatine should only be prescribed after careful consideration of benefit and risk in patients with hepatic injury risk factors e.g.:</w:t>
                      </w:r>
                    </w:p>
                    <w:p w:rsidR="006430BD" w:rsidRDefault="006430BD" w:rsidP="006430BD">
                      <w:pPr>
                        <w:pStyle w:val="BodyText"/>
                        <w:spacing w:before="8"/>
                      </w:pPr>
                      <w:r>
                        <w:t>- obesity/overweight/non-alcoholic fatty liver disease, diabetes</w:t>
                      </w:r>
                    </w:p>
                    <w:p w:rsidR="006430BD" w:rsidRDefault="006430BD" w:rsidP="006430BD">
                      <w:pPr>
                        <w:pStyle w:val="BodyText"/>
                        <w:spacing w:before="8"/>
                      </w:pPr>
                      <w:r>
                        <w:t>- alcohol use disorder and /or substantial alcohol intake</w:t>
                      </w:r>
                    </w:p>
                    <w:p w:rsidR="006430BD" w:rsidRDefault="006430BD" w:rsidP="006430BD">
                      <w:pPr>
                        <w:pStyle w:val="BodyText"/>
                        <w:spacing w:before="8"/>
                      </w:pPr>
                      <w:r>
                        <w:t xml:space="preserve">and in patients receiving concomitant medicinal products associated with risk of hepatic injury. </w:t>
                      </w:r>
                    </w:p>
                    <w:p w:rsidR="006430BD" w:rsidRDefault="006430BD" w:rsidP="006430BD">
                      <w:pPr>
                        <w:pStyle w:val="BodyText"/>
                        <w:spacing w:before="8"/>
                      </w:pPr>
                    </w:p>
                    <w:p w:rsidR="006430BD" w:rsidRDefault="006430BD" w:rsidP="006430BD">
                      <w:pPr>
                        <w:pStyle w:val="BodyText"/>
                        <w:spacing w:before="8"/>
                      </w:pPr>
                      <w:r>
                        <w:t xml:space="preserve">Baseline liver function tests should be undertaken in all patients and treatment should not be initiated in patients with baseline values of ALT and/or AST &gt;3 X upper limit of normal. Caution should be exercised when Agomelatine is administered to patients with </w:t>
                      </w:r>
                      <w:proofErr w:type="spellStart"/>
                      <w:r>
                        <w:t>pretreatment</w:t>
                      </w:r>
                      <w:proofErr w:type="spellEnd"/>
                      <w:r>
                        <w:t xml:space="preserve"> elevated transaminases (&gt; the upper limit of the normal ranges and ≤3 times the upper limit of the normal range).</w:t>
                      </w:r>
                    </w:p>
                    <w:p w:rsidR="00714DE8" w:rsidRDefault="00714DE8" w:rsidP="006430BD">
                      <w:pPr>
                        <w:pStyle w:val="BodyText"/>
                        <w:spacing w:before="8"/>
                      </w:pPr>
                    </w:p>
                    <w:p w:rsidR="00714DE8" w:rsidRDefault="00714DE8" w:rsidP="006430BD">
                      <w:pPr>
                        <w:pStyle w:val="BodyText"/>
                        <w:spacing w:before="8"/>
                      </w:pPr>
                      <w:r>
                        <w:t xml:space="preserve">Patients should be supplied with an alert card, available on the </w:t>
                      </w:r>
                      <w:proofErr w:type="spellStart"/>
                      <w:r>
                        <w:t>eMC</w:t>
                      </w:r>
                      <w:proofErr w:type="spellEnd"/>
                      <w:r>
                        <w:t xml:space="preserve"> website: </w:t>
                      </w:r>
                      <w:hyperlink r:id="rId10" w:history="1">
                        <w:r w:rsidRPr="00375914">
                          <w:rPr>
                            <w:rStyle w:val="Hyperlink"/>
                          </w:rPr>
                          <w:t>https://www.medicines.org.uk/emc/rmm-directory/V</w:t>
                        </w:r>
                      </w:hyperlink>
                      <w:r>
                        <w:t xml:space="preserve"> </w:t>
                      </w:r>
                    </w:p>
                    <w:p w:rsidR="006430BD" w:rsidRDefault="006430BD" w:rsidP="006430BD">
                      <w:pPr>
                        <w:pStyle w:val="BodyText"/>
                        <w:spacing w:before="8"/>
                      </w:pPr>
                    </w:p>
                    <w:p w:rsidR="006430BD" w:rsidRPr="00EE6401" w:rsidRDefault="006430BD" w:rsidP="006430BD">
                      <w:pPr>
                        <w:pStyle w:val="BodyText"/>
                        <w:spacing w:before="8"/>
                        <w:rPr>
                          <w:b/>
                        </w:rPr>
                      </w:pPr>
                      <w:r w:rsidRPr="00EE6401">
                        <w:rPr>
                          <w:b/>
                        </w:rPr>
                        <w:t xml:space="preserve">Frequency of liver function tests </w:t>
                      </w:r>
                    </w:p>
                    <w:p w:rsidR="006430BD" w:rsidRDefault="006430BD" w:rsidP="006430BD">
                      <w:pPr>
                        <w:pStyle w:val="BodyText"/>
                        <w:spacing w:before="8"/>
                      </w:pPr>
                      <w:r>
                        <w:t>- before starting treatment</w:t>
                      </w:r>
                    </w:p>
                    <w:p w:rsidR="006430BD" w:rsidRDefault="006430BD" w:rsidP="006430BD">
                      <w:pPr>
                        <w:pStyle w:val="BodyText"/>
                        <w:spacing w:before="8"/>
                      </w:pPr>
                      <w:r>
                        <w:t>- and then:</w:t>
                      </w:r>
                    </w:p>
                    <w:p w:rsidR="006430BD" w:rsidRDefault="006430BD" w:rsidP="006430BD">
                      <w:pPr>
                        <w:pStyle w:val="BodyText"/>
                        <w:spacing w:before="8"/>
                      </w:pPr>
                      <w:r>
                        <w:t xml:space="preserve">- after around 3 weeks, </w:t>
                      </w:r>
                    </w:p>
                    <w:p w:rsidR="006430BD" w:rsidRDefault="006430BD" w:rsidP="006430BD">
                      <w:pPr>
                        <w:pStyle w:val="BodyText"/>
                        <w:spacing w:before="8"/>
                      </w:pPr>
                      <w:r>
                        <w:t>- after around 6 weeks (end of acute phase),</w:t>
                      </w:r>
                    </w:p>
                    <w:p w:rsidR="006430BD" w:rsidRDefault="006430BD" w:rsidP="006430BD">
                      <w:pPr>
                        <w:pStyle w:val="BodyText"/>
                        <w:spacing w:before="8"/>
                      </w:pPr>
                      <w:r>
                        <w:t xml:space="preserve">- after around 12 and 24 weeks (end of maintenance phase) </w:t>
                      </w:r>
                    </w:p>
                    <w:p w:rsidR="006430BD" w:rsidRDefault="006430BD" w:rsidP="006430BD">
                      <w:pPr>
                        <w:pStyle w:val="BodyText"/>
                        <w:spacing w:before="8"/>
                      </w:pPr>
                      <w:r>
                        <w:t>- and thereafter when clinically indicated.</w:t>
                      </w:r>
                    </w:p>
                    <w:p w:rsidR="006430BD" w:rsidRDefault="006430BD" w:rsidP="006430BD">
                      <w:pPr>
                        <w:pStyle w:val="BodyText"/>
                        <w:spacing w:before="8"/>
                      </w:pPr>
                      <w:r>
                        <w:t xml:space="preserve"> </w:t>
                      </w:r>
                    </w:p>
                    <w:p w:rsidR="006430BD" w:rsidRDefault="006430BD" w:rsidP="006430BD">
                      <w:pPr>
                        <w:pStyle w:val="BodyText"/>
                        <w:spacing w:before="8"/>
                      </w:pPr>
                      <w:r>
                        <w:t>- When increasing the dosage, liver function tests should again be performed at the same frequency as when initiating treatment.</w:t>
                      </w:r>
                    </w:p>
                    <w:p w:rsidR="006430BD" w:rsidRDefault="006430BD" w:rsidP="006430BD">
                      <w:pPr>
                        <w:pStyle w:val="BodyText"/>
                        <w:spacing w:before="8"/>
                      </w:pPr>
                    </w:p>
                    <w:p w:rsidR="006430BD" w:rsidRDefault="006430BD" w:rsidP="006430BD">
                      <w:pPr>
                        <w:pStyle w:val="BodyText"/>
                        <w:spacing w:before="8"/>
                      </w:pPr>
                      <w:r>
                        <w:t>Any patient who develops increased serum transaminases should have his/her liver function tests repeated within 48 hours.</w:t>
                      </w:r>
                    </w:p>
                    <w:p w:rsidR="006430BD" w:rsidRDefault="006430BD" w:rsidP="006430BD">
                      <w:pPr>
                        <w:pStyle w:val="BodyText"/>
                        <w:spacing w:before="8"/>
                      </w:pPr>
                    </w:p>
                    <w:p w:rsidR="006430BD" w:rsidRPr="00EE6401" w:rsidRDefault="006430BD" w:rsidP="006430BD">
                      <w:pPr>
                        <w:pStyle w:val="BodyText"/>
                        <w:spacing w:before="8"/>
                        <w:rPr>
                          <w:b/>
                        </w:rPr>
                      </w:pPr>
                      <w:r w:rsidRPr="00EE6401">
                        <w:rPr>
                          <w:b/>
                        </w:rPr>
                        <w:t xml:space="preserve">During treatment period </w:t>
                      </w:r>
                    </w:p>
                    <w:p w:rsidR="006430BD" w:rsidRDefault="006430BD" w:rsidP="006430BD">
                      <w:pPr>
                        <w:pStyle w:val="BodyText"/>
                        <w:spacing w:before="8"/>
                      </w:pPr>
                    </w:p>
                    <w:p w:rsidR="006430BD" w:rsidRDefault="006430BD" w:rsidP="006430BD">
                      <w:pPr>
                        <w:pStyle w:val="BodyText"/>
                        <w:spacing w:before="8"/>
                      </w:pPr>
                      <w:r>
                        <w:t>Agomelatine treatment should be discontinued immediately if:</w:t>
                      </w:r>
                    </w:p>
                    <w:p w:rsidR="006430BD" w:rsidRDefault="006430BD" w:rsidP="006430BD">
                      <w:pPr>
                        <w:pStyle w:val="BodyText"/>
                        <w:spacing w:before="8"/>
                      </w:pPr>
                      <w:r>
                        <w:rPr>
                          <w:rFonts w:ascii="Cambria Math" w:hAnsi="Cambria Math" w:cs="Cambria Math"/>
                        </w:rPr>
                        <w:t>‐</w:t>
                      </w:r>
                      <w:r>
                        <w:t xml:space="preserve"> patient develops symptoms or signs of potential liver injury (such as dark urine, light coloured stools, yellow skin/eyes, pain in the upper right belly, sustained new-onset and unexplained fatigue).</w:t>
                      </w:r>
                    </w:p>
                    <w:p w:rsidR="006430BD" w:rsidRDefault="006430BD" w:rsidP="006430BD">
                      <w:pPr>
                        <w:pStyle w:val="BodyText"/>
                        <w:spacing w:before="8"/>
                      </w:pPr>
                      <w:r>
                        <w:rPr>
                          <w:rFonts w:ascii="Cambria Math" w:hAnsi="Cambria Math" w:cs="Cambria Math"/>
                        </w:rPr>
                        <w:t>‐</w:t>
                      </w:r>
                      <w:r>
                        <w:t xml:space="preserve"> the increase in serum transaminases exceeds 3 X upper limit of normal.</w:t>
                      </w:r>
                    </w:p>
                    <w:p w:rsidR="006430BD" w:rsidRDefault="006430BD" w:rsidP="006430BD">
                      <w:pPr>
                        <w:pStyle w:val="BodyText"/>
                        <w:spacing w:before="8"/>
                      </w:pPr>
                    </w:p>
                    <w:p w:rsidR="006430BD" w:rsidRDefault="006430BD" w:rsidP="006430BD">
                      <w:pPr>
                        <w:pStyle w:val="BodyText"/>
                        <w:spacing w:before="8"/>
                      </w:pPr>
                      <w:r>
                        <w:t>Following discontinuation of Agomelatine therapy liver function tests should be repeated until serum transaminases return to normal.</w:t>
                      </w:r>
                    </w:p>
                    <w:p w:rsidR="00500211" w:rsidRDefault="00500211" w:rsidP="006430BD">
                      <w:pPr>
                        <w:pStyle w:val="BodyText"/>
                        <w:spacing w:before="8"/>
                      </w:pPr>
                    </w:p>
                    <w:p w:rsidR="00500211" w:rsidRDefault="00500211" w:rsidP="00500211">
                      <w:pPr>
                        <w:pStyle w:val="BodyText"/>
                        <w:spacing w:before="8"/>
                      </w:pPr>
                      <w:r>
                        <w:t xml:space="preserve">A chart summarising liver enzyme monitoring is </w:t>
                      </w:r>
                      <w:r>
                        <w:t xml:space="preserve">available on the </w:t>
                      </w:r>
                      <w:proofErr w:type="spellStart"/>
                      <w:r>
                        <w:t>eMC</w:t>
                      </w:r>
                      <w:proofErr w:type="spellEnd"/>
                      <w:r>
                        <w:t xml:space="preserve"> website: </w:t>
                      </w:r>
                      <w:hyperlink r:id="rId11" w:history="1">
                        <w:r w:rsidRPr="00375914">
                          <w:rPr>
                            <w:rStyle w:val="Hyperlink"/>
                          </w:rPr>
                          <w:t>https://www.medicines.org.uk/emc/rmm-directory/V</w:t>
                        </w:r>
                      </w:hyperlink>
                      <w:r>
                        <w:t xml:space="preserve"> </w:t>
                      </w:r>
                    </w:p>
                    <w:p w:rsidR="00500211" w:rsidRDefault="00500211" w:rsidP="006430BD">
                      <w:pPr>
                        <w:pStyle w:val="BodyText"/>
                        <w:spacing w:before="8"/>
                      </w:pPr>
                    </w:p>
                    <w:p w:rsidR="006430BD" w:rsidRDefault="006430BD" w:rsidP="006430BD">
                      <w:pPr>
                        <w:pStyle w:val="BodyText"/>
                        <w:spacing w:before="8"/>
                      </w:pPr>
                    </w:p>
                    <w:p w:rsidR="006430BD" w:rsidRPr="00177C38" w:rsidRDefault="006430BD" w:rsidP="006430BD">
                      <w:pPr>
                        <w:rPr>
                          <w:rFonts w:ascii="Arial" w:hAnsi="Arial" w:cs="Arial"/>
                          <w:b/>
                          <w:sz w:val="20"/>
                        </w:rPr>
                      </w:pPr>
                      <w:r w:rsidRPr="00177C38">
                        <w:rPr>
                          <w:rFonts w:ascii="Arial" w:hAnsi="Arial" w:cs="Arial"/>
                          <w:b/>
                          <w:sz w:val="20"/>
                        </w:rPr>
                        <w:t>End of treatment</w:t>
                      </w:r>
                    </w:p>
                    <w:p w:rsidR="006430BD" w:rsidRDefault="006430BD" w:rsidP="006430BD">
                      <w:pPr>
                        <w:pStyle w:val="BodyText"/>
                        <w:spacing w:before="3"/>
                      </w:pPr>
                      <w:r>
                        <w:t>Agomelatine can be discontinued without down titration</w:t>
                      </w:r>
                    </w:p>
                    <w:bookmarkEnd w:id="1"/>
                    <w:p w:rsidR="006430BD" w:rsidRDefault="006430BD" w:rsidP="006430BD"/>
                  </w:txbxContent>
                </v:textbox>
              </v:shape>
            </w:pict>
          </mc:Fallback>
        </mc:AlternateContent>
      </w:r>
    </w:p>
    <w:p w:rsidR="00177C38" w:rsidRDefault="00177C38">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sz w:val="20"/>
          <w:szCs w:val="20"/>
        </w:rPr>
      </w:pPr>
    </w:p>
    <w:p w:rsidR="006430BD" w:rsidRDefault="006430BD">
      <w:pPr>
        <w:rPr>
          <w:rFonts w:ascii="Arial" w:hAnsi="Arial" w:cs="Arial"/>
          <w:b/>
        </w:rPr>
      </w:pPr>
      <w:r w:rsidRPr="006430BD">
        <w:rPr>
          <w:rFonts w:ascii="Arial" w:hAnsi="Arial" w:cs="Arial"/>
          <w:noProof/>
          <w:sz w:val="20"/>
          <w:szCs w:val="20"/>
          <w:lang w:eastAsia="en-GB"/>
        </w:rPr>
        <w:lastRenderedPageBreak/>
        <mc:AlternateContent>
          <mc:Choice Requires="wps">
            <w:drawing>
              <wp:anchor distT="0" distB="0" distL="114300" distR="114300" simplePos="0" relativeHeight="251667456" behindDoc="0" locked="0" layoutInCell="1" allowOverlap="1" wp14:anchorId="5439B2B3" wp14:editId="44895811">
                <wp:simplePos x="0" y="0"/>
                <wp:positionH relativeFrom="column">
                  <wp:posOffset>-135172</wp:posOffset>
                </wp:positionH>
                <wp:positionV relativeFrom="paragraph">
                  <wp:posOffset>151434</wp:posOffset>
                </wp:positionV>
                <wp:extent cx="6087441" cy="8348869"/>
                <wp:effectExtent l="0" t="0" r="2794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441" cy="8348869"/>
                        </a:xfrm>
                        <a:prstGeom prst="rect">
                          <a:avLst/>
                        </a:prstGeom>
                        <a:solidFill>
                          <a:schemeClr val="bg1">
                            <a:lumMod val="95000"/>
                          </a:schemeClr>
                        </a:solidFill>
                        <a:ln w="9525">
                          <a:solidFill>
                            <a:srgbClr val="000000"/>
                          </a:solidFill>
                          <a:miter lim="800000"/>
                          <a:headEnd/>
                          <a:tailEnd/>
                        </a:ln>
                      </wps:spPr>
                      <wps:txbx>
                        <w:txbxContent>
                          <w:p w:rsidR="006430BD" w:rsidRPr="006430BD" w:rsidRDefault="006430BD" w:rsidP="006430BD">
                            <w:pPr>
                              <w:spacing w:before="94"/>
                              <w:ind w:left="237"/>
                              <w:rPr>
                                <w:rFonts w:ascii="Arial" w:hAnsi="Arial" w:cs="Arial"/>
                                <w:b/>
                              </w:rPr>
                            </w:pPr>
                            <w:r w:rsidRPr="006430BD">
                              <w:rPr>
                                <w:rFonts w:ascii="Arial" w:hAnsi="Arial" w:cs="Arial"/>
                                <w:b/>
                              </w:rPr>
                              <w:t>Adverse effects, special warnings and precautions for use (consult SPC for full list)</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Pregnancy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 xml:space="preserve">There are no or limited amount of data (less than 300 pregnancy outcomes) from the use of agomelatine in pregnant women. Animal studies do not indicate direct or indirect harmful effects with respect to pregnancy, embryonal/foetal development, parturition or postnatal development. As a precautionary measure, it is preferable to avoid the use of Agomelatine during pregnancy. </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Breast-feeding </w:t>
                            </w:r>
                          </w:p>
                          <w:p w:rsidR="006430BD" w:rsidRDefault="006430BD" w:rsidP="006430BD">
                            <w:pPr>
                              <w:spacing w:before="94"/>
                              <w:ind w:left="237"/>
                              <w:rPr>
                                <w:rFonts w:ascii="Arial" w:hAnsi="Arial" w:cs="Arial"/>
                                <w:sz w:val="20"/>
                                <w:szCs w:val="20"/>
                              </w:rPr>
                            </w:pPr>
                            <w:r w:rsidRPr="006430BD">
                              <w:rPr>
                                <w:rFonts w:ascii="Arial" w:hAnsi="Arial" w:cs="Arial"/>
                                <w:sz w:val="20"/>
                                <w:szCs w:val="20"/>
                              </w:rPr>
                              <w:t xml:space="preserve">It is not known whether agomelatine/metabolites are excreted in human milk. Available </w:t>
                            </w:r>
                            <w:proofErr w:type="spellStart"/>
                            <w:r w:rsidRPr="006430BD">
                              <w:rPr>
                                <w:rFonts w:ascii="Arial" w:hAnsi="Arial" w:cs="Arial"/>
                                <w:sz w:val="20"/>
                                <w:szCs w:val="20"/>
                              </w:rPr>
                              <w:t>pharmacodynamic</w:t>
                            </w:r>
                            <w:proofErr w:type="spellEnd"/>
                            <w:r w:rsidRPr="006430BD">
                              <w:rPr>
                                <w:rFonts w:ascii="Arial" w:hAnsi="Arial" w:cs="Arial"/>
                                <w:sz w:val="20"/>
                                <w:szCs w:val="20"/>
                              </w:rPr>
                              <w:t xml:space="preserve">/toxicological data in animals have shown excretion of agomelatine/metabolites in milk (see section 5.3). A risk to the </w:t>
                            </w:r>
                            <w:proofErr w:type="spellStart"/>
                            <w:r w:rsidRPr="006430BD">
                              <w:rPr>
                                <w:rFonts w:ascii="Arial" w:hAnsi="Arial" w:cs="Arial"/>
                                <w:sz w:val="20"/>
                                <w:szCs w:val="20"/>
                              </w:rPr>
                              <w:t>newborns</w:t>
                            </w:r>
                            <w:proofErr w:type="spellEnd"/>
                            <w:r w:rsidRPr="006430BD">
                              <w:rPr>
                                <w:rFonts w:ascii="Arial" w:hAnsi="Arial" w:cs="Arial"/>
                                <w:sz w:val="20"/>
                                <w:szCs w:val="20"/>
                              </w:rPr>
                              <w:t>/infants cannot be excluded. A decision must be made whether to discontinue breast-feeding or to discontinue/abstain from Agomelatine therapy taking into account the benefit of breast-feeding for the child and the benefit of therapy for the woman.</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Bipolar disorder/ mania / hypomania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 xml:space="preserve">Agomelatine should be used with caution in patients with a history of bipolar disorder, mania or hypomania and should be discontinued if a patient develops manic symptoms </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Suicide/suicidal thoughts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Depression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antidepressants in adult patients with psychiatric disorders showed an increased risk of suicidal behaviour with antidepressants compared to placebo, in patients less than 25 years old.</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Close supervision of patients and in particular those at high risk should accompany treatment especially in early treatment and following dose changes. Patients (and caregivers of patients) should be alerted to the need to monitor for any clinical worsening, suicidal behaviour or thoughts and unusual changes in behaviour and to seek medical advice immediately if these symptoms present.</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Effects on ability to drive and use machines</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Agomelatine has minor influence on the ability to drive and use machines.</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Considering that dizziness and somnolence are common adverse reactions, patients should be cautioned about their ability to drive or operate machines.</w:t>
                            </w:r>
                          </w:p>
                          <w:p w:rsidR="006430BD" w:rsidRPr="006430BD" w:rsidRDefault="006430BD" w:rsidP="006430BD">
                            <w:pPr>
                              <w:spacing w:before="94"/>
                              <w:ind w:left="237"/>
                              <w:rPr>
                                <w:rFonts w:ascii="Arial" w:hAnsi="Arial" w:cs="Arial"/>
                                <w:sz w:val="20"/>
                                <w:szCs w:val="20"/>
                              </w:rPr>
                            </w:pPr>
                            <w:r w:rsidRPr="006430BD">
                              <w:rPr>
                                <w:rFonts w:ascii="Arial" w:hAnsi="Arial" w:cs="Arial"/>
                                <w:b/>
                                <w:sz w:val="20"/>
                                <w:szCs w:val="20"/>
                              </w:rPr>
                              <w:t>Adverse reactions</w:t>
                            </w:r>
                            <w:r w:rsidRPr="006430BD">
                              <w:rPr>
                                <w:rFonts w:ascii="Arial" w:hAnsi="Arial" w:cs="Arial"/>
                                <w:sz w:val="20"/>
                                <w:szCs w:val="20"/>
                              </w:rPr>
                              <w:t xml:space="preserve"> were usually mild or moderate and occurred within the first two weeks of treatment. The most common adverse reactions were headache, nausea and dizziness.</w:t>
                            </w:r>
                          </w:p>
                          <w:p w:rsidR="006430BD" w:rsidRPr="006430BD" w:rsidRDefault="006430BD" w:rsidP="006430B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65pt;margin-top:11.9pt;width:479.35pt;height:65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6hPgIAAG8EAAAOAAAAZHJzL2Uyb0RvYy54bWysVNtu2zAMfR+wfxD0vthJnTQx4hRdug4D&#10;ugvQ7gNkWbaFSaInKbG7ry8lJ5m7vQ17EUSRPiTPIb29GbQiR2GdBFPQ+SylRBgOlTRNQb8/3b9b&#10;U+I8MxVTYERBn4WjN7u3b7Z9l4sFtKAqYQmCGJf3XUFb77s8SRxvhWZuBp0w6KzBaubRtE1SWdYj&#10;ulbJIk1XSQ+26ixw4Ry+3o1Ouov4dS24/1rXTniiCoq1+XjaeJbhTHZbljeWda3kpzLYP1ShmTSY&#10;9AJ1xzwjByv/gtKSW3BQ+xkHnUBdSy5iD9jNPP2jm8eWdSL2guS47kKT+3+w/MvxmyWyKuiSEsM0&#10;SvQkBk/ew0AWgZ2+czkGPXYY5gd8RpVjp657AP7DEQP7lplG3FoLfStYhdXNw5fJ5NMRxwWQsv8M&#10;FaZhBw8RaKitDtQhGQTRUaXnizKhFI6Pq3R9nWVzSjj61lfZer3axBwsP3/eWec/CtAkXApqUfoI&#10;z44PzodyWH4OCdkcKFndS6WiEcZN7JUlR4aDUjZji+qgsdbxbbNM0zguiBOnM4RH1FdIypC+oJvl&#10;YjmS9CqLbcpLDkSbAE7DtPS4Ekpq7PQSxPJA7QdTxYH1TKrxjtUoc+I60DsS7YdyiKJenSUsoXpG&#10;8i2MG4Abi5cW7C9Kepz+grqfB2YFJeqTQQE38ywL6xKNbHm9QMNOPeXUwwxHqIJ6Ssbr3scVC9Qa&#10;uEWhaxklCBMxVnIqGac6cnjawLA2UztG/f5P7F4AAAD//wMAUEsDBBQABgAIAAAAIQCNHPpw4AAA&#10;AAsBAAAPAAAAZHJzL2Rvd25yZXYueG1sTI/BTsMwEETvSPyDtUjcWqcxCm2IUyEQl0oItYUDNyfe&#10;JhHxOoqdNvw9ywmOq32aeVNsZ9eLM46h86RhtUxAINXedtRoeD++LNYgQjRkTe8JNXxjgG15fVWY&#10;3PoL7fF8iI3gEAq50dDGOORShrpFZ8LSD0j8O/nRmcjn2Eg7mguHu16mSZJJZzrihtYM+NRi/XWY&#10;nAb3WtHuk3be2uk4Psfs7QM3J61vb+bHBxAR5/gHw68+q0PJTpWfyAbRa1ikK8WohlTxBAY26v4O&#10;RMWkUusMZFnI/xvKHwAAAP//AwBQSwECLQAUAAYACAAAACEAtoM4kv4AAADhAQAAEwAAAAAAAAAA&#10;AAAAAAAAAAAAW0NvbnRlbnRfVHlwZXNdLnhtbFBLAQItABQABgAIAAAAIQA4/SH/1gAAAJQBAAAL&#10;AAAAAAAAAAAAAAAAAC8BAABfcmVscy8ucmVsc1BLAQItABQABgAIAAAAIQDYRG6hPgIAAG8EAAAO&#10;AAAAAAAAAAAAAAAAAC4CAABkcnMvZTJvRG9jLnhtbFBLAQItABQABgAIAAAAIQCNHPpw4AAAAAsB&#10;AAAPAAAAAAAAAAAAAAAAAJgEAABkcnMvZG93bnJldi54bWxQSwUGAAAAAAQABADzAAAApQUAAAAA&#10;" fillcolor="#f2f2f2 [3052]">
                <v:textbox>
                  <w:txbxContent>
                    <w:p w:rsidR="006430BD" w:rsidRPr="006430BD" w:rsidRDefault="006430BD" w:rsidP="006430BD">
                      <w:pPr>
                        <w:spacing w:before="94"/>
                        <w:ind w:left="237"/>
                        <w:rPr>
                          <w:rFonts w:ascii="Arial" w:hAnsi="Arial" w:cs="Arial"/>
                          <w:b/>
                        </w:rPr>
                      </w:pPr>
                      <w:r w:rsidRPr="006430BD">
                        <w:rPr>
                          <w:rFonts w:ascii="Arial" w:hAnsi="Arial" w:cs="Arial"/>
                          <w:b/>
                        </w:rPr>
                        <w:t>Adverse effects, special warnings and precautions for use (consult SPC for full list)</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Pregnancy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 xml:space="preserve">There are no or limited amount of data (less than 300 pregnancy outcomes) from the use of agomelatine in pregnant women. Animal studies do not indicate direct or indirect harmful effects with respect to pregnancy, embryonal/foetal development, parturition or postnatal development. As a precautionary measure, it is preferable to avoid the use of Agomelatine during pregnancy. </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Breast-feeding </w:t>
                      </w:r>
                    </w:p>
                    <w:p w:rsidR="006430BD" w:rsidRDefault="006430BD" w:rsidP="006430BD">
                      <w:pPr>
                        <w:spacing w:before="94"/>
                        <w:ind w:left="237"/>
                        <w:rPr>
                          <w:rFonts w:ascii="Arial" w:hAnsi="Arial" w:cs="Arial"/>
                          <w:sz w:val="20"/>
                          <w:szCs w:val="20"/>
                        </w:rPr>
                      </w:pPr>
                      <w:r w:rsidRPr="006430BD">
                        <w:rPr>
                          <w:rFonts w:ascii="Arial" w:hAnsi="Arial" w:cs="Arial"/>
                          <w:sz w:val="20"/>
                          <w:szCs w:val="20"/>
                        </w:rPr>
                        <w:t xml:space="preserve">It is not known whether agomelatine/metabolites are excreted in human milk. Available </w:t>
                      </w:r>
                      <w:proofErr w:type="spellStart"/>
                      <w:r w:rsidRPr="006430BD">
                        <w:rPr>
                          <w:rFonts w:ascii="Arial" w:hAnsi="Arial" w:cs="Arial"/>
                          <w:sz w:val="20"/>
                          <w:szCs w:val="20"/>
                        </w:rPr>
                        <w:t>pharmacodynamic</w:t>
                      </w:r>
                      <w:proofErr w:type="spellEnd"/>
                      <w:r w:rsidRPr="006430BD">
                        <w:rPr>
                          <w:rFonts w:ascii="Arial" w:hAnsi="Arial" w:cs="Arial"/>
                          <w:sz w:val="20"/>
                          <w:szCs w:val="20"/>
                        </w:rPr>
                        <w:t xml:space="preserve">/toxicological data in animals have shown excretion of agomelatine/metabolites in milk (see section 5.3). A risk to the </w:t>
                      </w:r>
                      <w:proofErr w:type="spellStart"/>
                      <w:r w:rsidRPr="006430BD">
                        <w:rPr>
                          <w:rFonts w:ascii="Arial" w:hAnsi="Arial" w:cs="Arial"/>
                          <w:sz w:val="20"/>
                          <w:szCs w:val="20"/>
                        </w:rPr>
                        <w:t>newborns</w:t>
                      </w:r>
                      <w:proofErr w:type="spellEnd"/>
                      <w:r w:rsidRPr="006430BD">
                        <w:rPr>
                          <w:rFonts w:ascii="Arial" w:hAnsi="Arial" w:cs="Arial"/>
                          <w:sz w:val="20"/>
                          <w:szCs w:val="20"/>
                        </w:rPr>
                        <w:t>/infants cannot be excluded. A decision must be made whether to discontinue breast-feeding or to discontinue/abstain from Agomelatine therapy taking into account the benefit of breast-feeding for the child and the benefit of therapy for the woman.</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Bipolar disorder/ mania / hypomania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 xml:space="preserve">Agomelatine should be used with caution in patients with a history of bipolar disorder, mania or hypomania and should be discontinued if a patient develops manic symptoms </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Suicide/suicidal thoughts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Depression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antidepressants in adult patients with psychiatric disorders showed an increased risk of suicidal behaviour with antidepressants compared to placebo, in patients less than 25 years old.</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Close supervision of patients and in particular those at high risk should accompany treatment especially in early treatment and following dose changes. Patients (and caregivers of patients) should be alerted to the need to monitor for any clinical worsening, suicidal behaviour or thoughts and unusual changes in behaviour and to seek medical advice immediately if these symptoms present.</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Effects on ability to drive and use machines</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Agomelatine has minor influence on the ability to drive and use machines.</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Considering that dizziness and somnolence are common adverse reactions, patients should be cautioned about their ability to drive or operate machines.</w:t>
                      </w:r>
                    </w:p>
                    <w:p w:rsidR="006430BD" w:rsidRPr="006430BD" w:rsidRDefault="006430BD" w:rsidP="006430BD">
                      <w:pPr>
                        <w:spacing w:before="94"/>
                        <w:ind w:left="237"/>
                        <w:rPr>
                          <w:rFonts w:ascii="Arial" w:hAnsi="Arial" w:cs="Arial"/>
                          <w:sz w:val="20"/>
                          <w:szCs w:val="20"/>
                        </w:rPr>
                      </w:pPr>
                      <w:r w:rsidRPr="006430BD">
                        <w:rPr>
                          <w:rFonts w:ascii="Arial" w:hAnsi="Arial" w:cs="Arial"/>
                          <w:b/>
                          <w:sz w:val="20"/>
                          <w:szCs w:val="20"/>
                        </w:rPr>
                        <w:t>Adverse reactions</w:t>
                      </w:r>
                      <w:r w:rsidRPr="006430BD">
                        <w:rPr>
                          <w:rFonts w:ascii="Arial" w:hAnsi="Arial" w:cs="Arial"/>
                          <w:sz w:val="20"/>
                          <w:szCs w:val="20"/>
                        </w:rPr>
                        <w:t xml:space="preserve"> were usually mild or moderate and occurred within the first two weeks of treatment. The most common adverse reactions were headache, nausea and dizziness.</w:t>
                      </w:r>
                    </w:p>
                    <w:p w:rsidR="006430BD" w:rsidRPr="006430BD" w:rsidRDefault="006430BD" w:rsidP="006430BD">
                      <w:pPr>
                        <w:rPr>
                          <w:rFonts w:ascii="Arial" w:hAnsi="Arial" w:cs="Arial"/>
                          <w:sz w:val="20"/>
                          <w:szCs w:val="20"/>
                        </w:rPr>
                      </w:pPr>
                    </w:p>
                  </w:txbxContent>
                </v:textbox>
              </v:shape>
            </w:pict>
          </mc:Fallback>
        </mc:AlternateContent>
      </w: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7459FA">
      <w:pPr>
        <w:rPr>
          <w:rFonts w:ascii="Arial" w:hAnsi="Arial" w:cs="Arial"/>
          <w:b/>
          <w:sz w:val="20"/>
          <w:szCs w:val="20"/>
        </w:rPr>
      </w:pPr>
      <w:r w:rsidRPr="007459FA">
        <w:rPr>
          <w:rFonts w:ascii="Arial" w:hAnsi="Arial" w:cs="Arial"/>
          <w:b/>
          <w:noProof/>
          <w:sz w:val="20"/>
          <w:szCs w:val="20"/>
          <w:lang w:eastAsia="en-GB"/>
        </w:rPr>
        <w:lastRenderedPageBreak/>
        <mc:AlternateContent>
          <mc:Choice Requires="wps">
            <w:drawing>
              <wp:anchor distT="0" distB="0" distL="114300" distR="114300" simplePos="0" relativeHeight="251669504" behindDoc="0" locked="0" layoutInCell="1" allowOverlap="1" wp14:editId="36B11C9B">
                <wp:simplePos x="0" y="0"/>
                <wp:positionH relativeFrom="column">
                  <wp:align>center</wp:align>
                </wp:positionH>
                <wp:positionV relativeFrom="paragraph">
                  <wp:posOffset>0</wp:posOffset>
                </wp:positionV>
                <wp:extent cx="5975516" cy="1403985"/>
                <wp:effectExtent l="0" t="0" r="2540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516" cy="1403985"/>
                        </a:xfrm>
                        <a:prstGeom prst="rect">
                          <a:avLst/>
                        </a:prstGeom>
                        <a:solidFill>
                          <a:schemeClr val="bg1">
                            <a:lumMod val="95000"/>
                          </a:schemeClr>
                        </a:solidFill>
                        <a:ln w="9525">
                          <a:solidFill>
                            <a:srgbClr val="000000"/>
                          </a:solidFill>
                          <a:miter lim="800000"/>
                          <a:headEnd/>
                          <a:tailEnd/>
                        </a:ln>
                      </wps:spPr>
                      <wps:txbx>
                        <w:txbxContent>
                          <w:p w:rsidR="007459FA" w:rsidRDefault="007459FA" w:rsidP="007459FA">
                            <w:pPr>
                              <w:pStyle w:val="Heading2"/>
                              <w:spacing w:before="83"/>
                              <w:rPr>
                                <w:sz w:val="19"/>
                              </w:rPr>
                            </w:pPr>
                            <w:r>
                              <w:t>Drug Interactions (consult SPC for full list)</w:t>
                            </w:r>
                          </w:p>
                          <w:p w:rsidR="007459FA" w:rsidRDefault="007459FA" w:rsidP="007459FA">
                            <w:pPr>
                              <w:pStyle w:val="BodyText"/>
                              <w:ind w:left="237"/>
                              <w:rPr>
                                <w:u w:val="single"/>
                              </w:rPr>
                            </w:pPr>
                          </w:p>
                          <w:p w:rsidR="007459FA" w:rsidRPr="00DB47A7" w:rsidRDefault="007459FA" w:rsidP="007459FA">
                            <w:pPr>
                              <w:pStyle w:val="BodyText"/>
                              <w:spacing w:before="7"/>
                              <w:ind w:left="237"/>
                            </w:pPr>
                            <w:r w:rsidRPr="00DB47A7">
                              <w:t xml:space="preserve">Agomelatine is metabolised mainly by cytochrome P450 1A2 (CYP1A2) (90%) and by CYP2C9/19 (10%). Medicinal products that interact with these isoenzymes may decrease or increase the bioavailability of agomelatine. </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Fluvoxamine, a potent CYP1A2 and moderate CYP2C9 inhibitor markedly inhibits the metabolism of agomelatine resulting in a 60-fold (range 12-412) increase of agomelatine exposure.</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 xml:space="preserve">Consequently, co-administration of </w:t>
                            </w:r>
                            <w:proofErr w:type="spellStart"/>
                            <w:r w:rsidRPr="00DB47A7">
                              <w:t>Valdoxan</w:t>
                            </w:r>
                            <w:proofErr w:type="spellEnd"/>
                            <w:r w:rsidRPr="00DB47A7">
                              <w:t xml:space="preserve"> with potent CYP1A2 inhibitors (e.g. fluvoxamine, ciprofloxacin) is contraindicated.</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 xml:space="preserve">Combination of agomelatine with oestrogens (moderate CYP1A2 inhibitors) results in a several fold increased exposure of agomelatine. While there was no specific safety signal in the 800 patients treated in combination with oestrogens, caution should be exercised when prescribing agomelatine with other moderate CYP1A2 inhibitors (e.g. propranolol, </w:t>
                            </w:r>
                            <w:proofErr w:type="spellStart"/>
                            <w:r w:rsidRPr="00DB47A7">
                              <w:t>enoxacin</w:t>
                            </w:r>
                            <w:proofErr w:type="spellEnd"/>
                            <w:r w:rsidRPr="00DB47A7">
                              <w:t>) until more experience has been gained.</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Rifampicin an inducer of all three cytochromes involved in the metabolism of agomelatine may decrease the bioavailability of agomelatine.</w:t>
                            </w:r>
                          </w:p>
                          <w:p w:rsidR="007459FA" w:rsidRPr="00DB47A7" w:rsidRDefault="007459FA" w:rsidP="007459FA">
                            <w:pPr>
                              <w:pStyle w:val="BodyText"/>
                              <w:spacing w:before="7"/>
                            </w:pPr>
                          </w:p>
                          <w:p w:rsidR="007459FA" w:rsidRPr="00DB47A7" w:rsidRDefault="007459FA" w:rsidP="007459FA">
                            <w:pPr>
                              <w:pStyle w:val="BodyText"/>
                              <w:spacing w:before="7"/>
                              <w:ind w:left="237"/>
                              <w:rPr>
                                <w:sz w:val="11"/>
                              </w:rPr>
                            </w:pPr>
                            <w:r w:rsidRPr="00DB47A7">
                              <w:t>Smoking induces CYP1A2 and has been shown to decrease the bioavailability of agomelatine, especially in heavy smokers (&gt;15 cigarettes/day).</w:t>
                            </w:r>
                          </w:p>
                          <w:p w:rsidR="007459FA" w:rsidRDefault="007459FA" w:rsidP="007459FA">
                            <w:pPr>
                              <w:pStyle w:val="BodyText"/>
                              <w:spacing w:before="9"/>
                              <w:rPr>
                                <w:sz w:val="11"/>
                              </w:rPr>
                            </w:pPr>
                          </w:p>
                          <w:p w:rsidR="007459FA" w:rsidRDefault="007459FA" w:rsidP="007459FA">
                            <w:pPr>
                              <w:pStyle w:val="BodyText"/>
                              <w:spacing w:before="93" w:line="242" w:lineRule="auto"/>
                              <w:ind w:left="237" w:right="663"/>
                            </w:pPr>
                            <w:r w:rsidRPr="00DB47A7">
                              <w:t>The combination of agomelatine and alcohol is not advisable.</w:t>
                            </w:r>
                          </w:p>
                          <w:p w:rsidR="007459FA" w:rsidRDefault="007459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70.5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XaPAIAAG8EAAAOAAAAZHJzL2Uyb0RvYy54bWysVNtu2zAMfR+wfxD0vtjJ4jYx4hRdugwD&#10;ugvQ7gNoWY6F6TZJiZ19/Sg5ydLtbdiLIIr04eEh6dXdoCQ5cOeF0RWdTnJKuGamEXpX0W/P2zcL&#10;SnwA3YA0mlf0yD29W79+teptyWemM7LhjiCI9mVvK9qFYMss86zjCvzEWK7R2RqnIKDpdlnjoEd0&#10;JbNZnt9kvXGNdYZx7/H1YXTSdcJvW87Cl7b1PBBZUeQW0unSWcczW6+g3DmwnWAnGvAPLBQIjUkv&#10;UA8QgOyd+AtKCeaMN22YMKMy07aC8VQDVjPN/6jmqQPLUy0ojrcXmfz/g2WfD18dEU1FbyjRoLBF&#10;z3wI5J0ZyCyq01tfYtCTxbAw4DN2OVXq7aNh3z3RZtOB3vF750zfcWiQ3TR+mV19OuL4CFL3n0yD&#10;aWAfTAIaWqeidCgGQXTs0vHSmUiF4WOxvC2KKVJk6JvO87fLRZFyQHn+3DofPnCjSLxU1GHrEzwc&#10;Hn2IdKA8h8Rs3kjRbIWUyYjjxjfSkQPgoNS7sUS5V8h1fFsWeZ7GBXHSdMbwhPoCSWrSV3RZzIpR&#10;pBdZ3K6+5EC0K8DrMCUCroQUqqKLSxCUUdr3ukkDG0DI8Y5spD5pHeUdhQ5DPaSmzs8trE1zRPGd&#10;GTcANxYvnXE/Kelx+ivqf+zBcUrkR40NXE7n87guyZgXtzM03LWnvvaAZghV0UDJeN2EtGJJWnuP&#10;jd6K1II4ESOTE2Wc6qThaQPj2lzbKer3f2L9CwAA//8DAFBLAwQUAAYACAAAACEAkkenlNsAAAAF&#10;AQAADwAAAGRycy9kb3ducmV2LnhtbEyPwU7DMBBE70j8g7VI3KiTgCiEOBVCcOuBpC1nN94mUeN1&#10;ZLtt4OtZuLSXlUazmnlTLCY7iCP60DtSkM4SEEiNMz21Ctarj7snECFqMnpwhAq+McCivL4qdG7c&#10;iSo81rEVHEIh1wq6GMdcytB0aHWYuRGJvZ3zVkeWvpXG6xOH20FmSfIore6JGzo94luHzb4+WO7d&#10;+J95qJNNZr/uV1VVLT/f50ulbm+m1xcQEad4foY/fEaHkpm27kAmiEEBD4n/l73nh5TlVkGWpSnI&#10;spCX9OUvAAAA//8DAFBLAQItABQABgAIAAAAIQC2gziS/gAAAOEBAAATAAAAAAAAAAAAAAAAAAAA&#10;AABbQ29udGVudF9UeXBlc10ueG1sUEsBAi0AFAAGAAgAAAAhADj9If/WAAAAlAEAAAsAAAAAAAAA&#10;AAAAAAAALwEAAF9yZWxzLy5yZWxzUEsBAi0AFAAGAAgAAAAhAC57xdo8AgAAbwQAAA4AAAAAAAAA&#10;AAAAAAAALgIAAGRycy9lMm9Eb2MueG1sUEsBAi0AFAAGAAgAAAAhAJJHp5TbAAAABQEAAA8AAAAA&#10;AAAAAAAAAAAAlgQAAGRycy9kb3ducmV2LnhtbFBLBQYAAAAABAAEAPMAAACeBQAAAAA=&#10;" fillcolor="#f2f2f2 [3052]">
                <v:textbox style="mso-fit-shape-to-text:t">
                  <w:txbxContent>
                    <w:p w:rsidR="007459FA" w:rsidRDefault="007459FA" w:rsidP="007459FA">
                      <w:pPr>
                        <w:pStyle w:val="Heading2"/>
                        <w:spacing w:before="83"/>
                        <w:rPr>
                          <w:sz w:val="19"/>
                        </w:rPr>
                      </w:pPr>
                      <w:r>
                        <w:t xml:space="preserve">Drug </w:t>
                      </w:r>
                      <w:r>
                        <w:t>Interactions (consult SPC for full list)</w:t>
                      </w:r>
                    </w:p>
                    <w:p w:rsidR="007459FA" w:rsidRDefault="007459FA" w:rsidP="007459FA">
                      <w:pPr>
                        <w:pStyle w:val="BodyText"/>
                        <w:ind w:left="237"/>
                        <w:rPr>
                          <w:u w:val="single"/>
                        </w:rPr>
                      </w:pPr>
                    </w:p>
                    <w:p w:rsidR="007459FA" w:rsidRPr="00DB47A7" w:rsidRDefault="007459FA" w:rsidP="007459FA">
                      <w:pPr>
                        <w:pStyle w:val="BodyText"/>
                        <w:spacing w:before="7"/>
                        <w:ind w:left="237"/>
                      </w:pPr>
                      <w:r w:rsidRPr="00DB47A7">
                        <w:t xml:space="preserve">Agomelatine is metabolised mainly by cytochrome P450 1A2 (CYP1A2) (90%) and by CYP2C9/19 (10%). Medicinal products that interact with these isoenzymes may decrease or increase the bioavailability of agomelatine. </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Fluvoxamine, a potent CYP1A2 and moderate CYP2C9 inhibitor markedly inhibits the metabolism of agomelatine resulting in a 60-fold (range 12-412) increase of agomelatine exposure.</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 xml:space="preserve">Consequently, co-administration of </w:t>
                      </w:r>
                      <w:proofErr w:type="spellStart"/>
                      <w:r w:rsidRPr="00DB47A7">
                        <w:t>Valdoxan</w:t>
                      </w:r>
                      <w:proofErr w:type="spellEnd"/>
                      <w:r w:rsidRPr="00DB47A7">
                        <w:t xml:space="preserve"> with potent CYP1A2 inhibitors (e.g. fluvoxamine, ciprofloxacin) is contraindicated.</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 xml:space="preserve">Combination of agomelatine with oestrogens (moderate CYP1A2 inhibitors) results in a several fold increased exposure of agomelatine. While there was no specific safety signal in the 800 patients treated in combination with oestrogens, caution should be exercised when prescribing agomelatine with other moderate CYP1A2 inhibitors (e.g. propranolol, </w:t>
                      </w:r>
                      <w:proofErr w:type="spellStart"/>
                      <w:r w:rsidRPr="00DB47A7">
                        <w:t>enoxacin</w:t>
                      </w:r>
                      <w:proofErr w:type="spellEnd"/>
                      <w:r w:rsidRPr="00DB47A7">
                        <w:t>) until more experience has been gained.</w:t>
                      </w:r>
                    </w:p>
                    <w:p w:rsidR="007459FA" w:rsidRPr="00DB47A7" w:rsidRDefault="007459FA" w:rsidP="007459FA">
                      <w:pPr>
                        <w:pStyle w:val="BodyText"/>
                        <w:spacing w:before="7"/>
                      </w:pPr>
                    </w:p>
                    <w:p w:rsidR="007459FA" w:rsidRPr="00DB47A7" w:rsidRDefault="007459FA" w:rsidP="007459FA">
                      <w:pPr>
                        <w:pStyle w:val="BodyText"/>
                        <w:spacing w:before="7"/>
                        <w:ind w:left="237"/>
                      </w:pPr>
                      <w:r w:rsidRPr="00DB47A7">
                        <w:t>Rifampicin an inducer of all three cytochromes involved in the metabolism of agomelatine may decrease the bioavailability of agomelatine.</w:t>
                      </w:r>
                    </w:p>
                    <w:p w:rsidR="007459FA" w:rsidRPr="00DB47A7" w:rsidRDefault="007459FA" w:rsidP="007459FA">
                      <w:pPr>
                        <w:pStyle w:val="BodyText"/>
                        <w:spacing w:before="7"/>
                      </w:pPr>
                    </w:p>
                    <w:p w:rsidR="007459FA" w:rsidRPr="00DB47A7" w:rsidRDefault="007459FA" w:rsidP="007459FA">
                      <w:pPr>
                        <w:pStyle w:val="BodyText"/>
                        <w:spacing w:before="7"/>
                        <w:ind w:left="237"/>
                        <w:rPr>
                          <w:sz w:val="11"/>
                        </w:rPr>
                      </w:pPr>
                      <w:r w:rsidRPr="00DB47A7">
                        <w:t>Smoking induces CYP1A2 and has been shown to decrease the bioavailability of agomelatine, especially in heavy smokers (&gt;15 cigarettes/day).</w:t>
                      </w:r>
                    </w:p>
                    <w:p w:rsidR="007459FA" w:rsidRDefault="007459FA" w:rsidP="007459FA">
                      <w:pPr>
                        <w:pStyle w:val="BodyText"/>
                        <w:spacing w:before="9"/>
                        <w:rPr>
                          <w:sz w:val="11"/>
                        </w:rPr>
                      </w:pPr>
                    </w:p>
                    <w:p w:rsidR="007459FA" w:rsidRDefault="007459FA" w:rsidP="007459FA">
                      <w:pPr>
                        <w:pStyle w:val="BodyText"/>
                        <w:spacing w:before="93" w:line="242" w:lineRule="auto"/>
                        <w:ind w:left="237" w:right="663"/>
                      </w:pPr>
                      <w:r w:rsidRPr="00DB47A7">
                        <w:t>The combination of agomelatine and alcohol is not advisable.</w:t>
                      </w:r>
                    </w:p>
                    <w:p w:rsidR="007459FA" w:rsidRDefault="007459FA"/>
                  </w:txbxContent>
                </v:textbox>
              </v:shape>
            </w:pict>
          </mc:Fallback>
        </mc:AlternateContent>
      </w: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2875B7">
      <w:pPr>
        <w:rPr>
          <w:rFonts w:ascii="Arial" w:hAnsi="Arial" w:cs="Arial"/>
          <w:b/>
          <w:sz w:val="20"/>
          <w:szCs w:val="20"/>
        </w:rPr>
      </w:pPr>
      <w:r w:rsidRPr="00324370">
        <w:rPr>
          <w:rFonts w:ascii="Arial" w:hAnsi="Arial" w:cs="Arial"/>
          <w:b/>
          <w:noProof/>
          <w:sz w:val="20"/>
          <w:szCs w:val="20"/>
          <w:lang w:eastAsia="en-GB"/>
        </w:rPr>
        <mc:AlternateContent>
          <mc:Choice Requires="wps">
            <w:drawing>
              <wp:anchor distT="0" distB="0" distL="114300" distR="114300" simplePos="0" relativeHeight="251673600" behindDoc="0" locked="0" layoutInCell="1" allowOverlap="1" wp14:anchorId="16EBEDA2" wp14:editId="74081A5E">
                <wp:simplePos x="0" y="0"/>
                <wp:positionH relativeFrom="column">
                  <wp:posOffset>-152400</wp:posOffset>
                </wp:positionH>
                <wp:positionV relativeFrom="paragraph">
                  <wp:posOffset>241935</wp:posOffset>
                </wp:positionV>
                <wp:extent cx="6015355" cy="1403985"/>
                <wp:effectExtent l="0" t="0" r="2349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403985"/>
                        </a:xfrm>
                        <a:prstGeom prst="rect">
                          <a:avLst/>
                        </a:prstGeom>
                        <a:solidFill>
                          <a:schemeClr val="bg1">
                            <a:lumMod val="95000"/>
                          </a:schemeClr>
                        </a:solidFill>
                        <a:ln w="9525">
                          <a:solidFill>
                            <a:srgbClr val="000000"/>
                          </a:solidFill>
                          <a:miter lim="800000"/>
                          <a:headEnd/>
                          <a:tailEnd/>
                        </a:ln>
                      </wps:spPr>
                      <wps:txbx>
                        <w:txbxContent>
                          <w:p w:rsidR="002875B7" w:rsidRDefault="002875B7" w:rsidP="002875B7">
                            <w:pPr>
                              <w:rPr>
                                <w:rFonts w:ascii="Arial" w:hAnsi="Arial" w:cs="Arial"/>
                                <w:b/>
                              </w:rPr>
                            </w:pPr>
                            <w:r>
                              <w:rPr>
                                <w:rFonts w:ascii="Arial" w:hAnsi="Arial" w:cs="Arial"/>
                                <w:b/>
                              </w:rPr>
                              <w:t>Continuation in patients &gt; 75 years</w:t>
                            </w:r>
                          </w:p>
                          <w:p w:rsidR="002875B7" w:rsidRDefault="002875B7" w:rsidP="002875B7">
                            <w:pPr>
                              <w:rPr>
                                <w:rFonts w:ascii="Arial" w:hAnsi="Arial" w:cs="Arial"/>
                                <w:sz w:val="20"/>
                                <w:szCs w:val="20"/>
                              </w:rPr>
                            </w:pPr>
                            <w:r w:rsidRPr="002875B7">
                              <w:rPr>
                                <w:rFonts w:ascii="Arial" w:hAnsi="Arial" w:cs="Arial"/>
                                <w:sz w:val="20"/>
                                <w:szCs w:val="20"/>
                              </w:rPr>
                              <w:t>The SPC states</w:t>
                            </w:r>
                            <w:r>
                              <w:rPr>
                                <w:rFonts w:ascii="Arial" w:hAnsi="Arial" w:cs="Arial"/>
                                <w:sz w:val="20"/>
                                <w:szCs w:val="20"/>
                              </w:rPr>
                              <w:t xml:space="preserve"> that a</w:t>
                            </w:r>
                            <w:r w:rsidRPr="002875B7">
                              <w:rPr>
                                <w:rFonts w:ascii="Arial" w:hAnsi="Arial" w:cs="Arial"/>
                                <w:sz w:val="20"/>
                                <w:szCs w:val="20"/>
                              </w:rPr>
                              <w:t xml:space="preserve"> placebo-controlled 8-week trial of agomelatine 25-50mg/day in elderly depressed patients (≥ 65 years, N=222, of which 151 on agomelatine) demonstrated a statistically significant difference of 2.67 points on HAM-D total score, the primary outcome. Responder rate analysis favoured agomelatine. No improvement was observed in very elderly patients (≥75 years, N= 69, of which 48 on agomelatine).</w:t>
                            </w:r>
                          </w:p>
                          <w:p w:rsidR="002875B7" w:rsidRDefault="002875B7" w:rsidP="002875B7">
                            <w:pPr>
                              <w:rPr>
                                <w:rFonts w:ascii="Arial" w:hAnsi="Arial" w:cs="Arial"/>
                                <w:sz w:val="20"/>
                                <w:szCs w:val="20"/>
                              </w:rPr>
                            </w:pPr>
                            <w:r w:rsidRPr="002875B7">
                              <w:rPr>
                                <w:rFonts w:ascii="Arial" w:hAnsi="Arial" w:cs="Arial"/>
                                <w:sz w:val="20"/>
                                <w:szCs w:val="20"/>
                              </w:rPr>
                              <w:t>Tolerability of agomelatine in elderly patients was comparable to that seen in the younger adults.</w:t>
                            </w:r>
                          </w:p>
                          <w:p w:rsidR="00B02C58" w:rsidRDefault="002875B7" w:rsidP="002875B7">
                            <w:pPr>
                              <w:rPr>
                                <w:rFonts w:ascii="Arial" w:hAnsi="Arial" w:cs="Arial"/>
                                <w:sz w:val="20"/>
                                <w:szCs w:val="20"/>
                              </w:rPr>
                            </w:pPr>
                            <w:r>
                              <w:rPr>
                                <w:rFonts w:ascii="Arial" w:hAnsi="Arial" w:cs="Arial"/>
                                <w:sz w:val="20"/>
                                <w:szCs w:val="20"/>
                              </w:rPr>
                              <w:t>If a patient is being successfully treated with agomelatine before they reach 75 years then it should be continued.  If treatment becomes ineffective or no longer required then it should be stopped.</w:t>
                            </w:r>
                            <w:r w:rsidR="00B02C58">
                              <w:rPr>
                                <w:rFonts w:ascii="Arial" w:hAnsi="Arial" w:cs="Arial"/>
                                <w:sz w:val="20"/>
                                <w:szCs w:val="20"/>
                              </w:rPr>
                              <w:t xml:space="preserve"> </w:t>
                            </w:r>
                          </w:p>
                          <w:p w:rsidR="00B02C58" w:rsidRDefault="00B02C58" w:rsidP="002875B7">
                            <w:pPr>
                              <w:rPr>
                                <w:rFonts w:ascii="Arial" w:hAnsi="Arial" w:cs="Arial"/>
                                <w:sz w:val="20"/>
                                <w:szCs w:val="20"/>
                              </w:rPr>
                            </w:pPr>
                            <w:r>
                              <w:rPr>
                                <w:rFonts w:ascii="Arial" w:hAnsi="Arial" w:cs="Arial"/>
                                <w:sz w:val="20"/>
                                <w:szCs w:val="20"/>
                              </w:rPr>
                              <w:t xml:space="preserve">The patient can be referred back to KMPT </w:t>
                            </w:r>
                            <w:r>
                              <w:rPr>
                                <w:rFonts w:ascii="Arial" w:hAnsi="Arial" w:cs="Arial"/>
                                <w:sz w:val="20"/>
                                <w:szCs w:val="20"/>
                              </w:rPr>
                              <w:t>for assessment if required.</w:t>
                            </w:r>
                            <w:bookmarkStart w:id="0" w:name="_GoBack"/>
                            <w:bookmarkEnd w:id="0"/>
                          </w:p>
                          <w:p w:rsidR="002875B7" w:rsidRPr="002875B7" w:rsidRDefault="002875B7" w:rsidP="002875B7">
                            <w:pPr>
                              <w:rPr>
                                <w:rFonts w:ascii="Arial" w:hAnsi="Arial" w:cs="Arial"/>
                                <w:sz w:val="20"/>
                                <w:szCs w:val="20"/>
                              </w:rPr>
                            </w:pPr>
                            <w:r>
                              <w:rPr>
                                <w:rFonts w:ascii="Arial" w:hAnsi="Arial" w:cs="Arial"/>
                                <w:sz w:val="20"/>
                                <w:szCs w:val="20"/>
                              </w:rPr>
                              <w:t>Agomelatine should not be initiated in those over 75years of 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2pt;margin-top:19.05pt;width:473.6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JTPAIAAG8EAAAOAAAAZHJzL2Uyb0RvYy54bWysVNtu2zAMfR+wfxD0vthJ4y4x4hRdugwD&#10;ugvQ7gNoWY6F6TZJiZ19fSk5TdPtbdiLIIr0IXkO6dXNoCQ5cOeF0RWdTnJKuGamEXpX0R+P23cL&#10;SnwA3YA0mlf0yD29Wb99s+ptyWemM7LhjiCI9mVvK9qFYMss86zjCvzEWK7R2RqnIKDpdlnjoEd0&#10;JbNZnl9nvXGNdYZx7/H1bnTSdcJvW87Ct7b1PBBZUawtpNOls45ntl5BuXNgO8FOZcA/VKFAaEx6&#10;hrqDAGTvxF9QSjBnvGnDhBmVmbYVjKcesJtp/kc3Dx1YnnpBcrw90+T/Hyz7evjuiGgqOqdEg0KJ&#10;HvkQyAczkFlkp7e+xKAHi2FhwGdUOXXq7b1hPz3RZtOB3vFb50zfcWiwumn8Mrv4dMTxEaTuv5gG&#10;08A+mAQ0tE5F6pAMguio0vGsTCyF4eN1Pi2uioIShr7pPL9aLoqUA8rnz63z4RM3isRLRR1Kn+Dh&#10;cO9DLAfK55CYzRspmq2QMhlx3PhGOnIAHJR6N7Yo9wprHd+WRZ6ncUGcNJ0xPKG+QpKa9BVdFrNi&#10;JOlVFrerzzkQ7QLwMkyJgCshharo4hwEZaT2o27SwAYQcrxjNVKfuI70jkSHoR6SqImkqENtmiOS&#10;78y4AbixeOmM+01Jj9NfUf9rD45TIj9rFHA5nc/juiRjXryfoeEuPfWlBzRDqIoGSsbrJqQVS9Ta&#10;WxR6K5IEL5WcSsapThyeNjCuzaWdol7+E+snAAAA//8DAFBLAwQUAAYACAAAACEAgsYqyeAAAAAK&#10;AQAADwAAAGRycy9kb3ducmV2LnhtbEyPwU7DMBBE70j8g7VI3FqnDtA2xKkQglsPJKWc3XhJIuJ1&#10;FLtt4OtZTuU4mtHMm3wzuV6ccAydJw2LeQICqfa2o0bD++51tgIRoiFrek+o4RsDbIrrq9xk1p+p&#10;xFMVG8ElFDKjoY1xyKQMdYvOhLkfkNj79KMzkeXYSDuaM5e7XqokeZDOdMQLrRnwucX6qzo63t2P&#10;P8tQJXvlPtJdWZbbt5flVuvbm+npEUTEKV7C8IfP6FAw08EfyQbRa5ipO/4SNaSrBQgOrFWagjho&#10;UPdrBbLI5f8LxS8AAAD//wMAUEsBAi0AFAAGAAgAAAAhALaDOJL+AAAA4QEAABMAAAAAAAAAAAAA&#10;AAAAAAAAAFtDb250ZW50X1R5cGVzXS54bWxQSwECLQAUAAYACAAAACEAOP0h/9YAAACUAQAACwAA&#10;AAAAAAAAAAAAAAAvAQAAX3JlbHMvLnJlbHNQSwECLQAUAAYACAAAACEA5ShiUzwCAABvBAAADgAA&#10;AAAAAAAAAAAAAAAuAgAAZHJzL2Uyb0RvYy54bWxQSwECLQAUAAYACAAAACEAgsYqyeAAAAAKAQAA&#10;DwAAAAAAAAAAAAAAAACWBAAAZHJzL2Rvd25yZXYueG1sUEsFBgAAAAAEAAQA8wAAAKMFAAAAAA==&#10;" fillcolor="#f2f2f2 [3052]">
                <v:textbox style="mso-fit-shape-to-text:t">
                  <w:txbxContent>
                    <w:p w:rsidR="002875B7" w:rsidRDefault="002875B7" w:rsidP="002875B7">
                      <w:pPr>
                        <w:rPr>
                          <w:rFonts w:ascii="Arial" w:hAnsi="Arial" w:cs="Arial"/>
                          <w:b/>
                        </w:rPr>
                      </w:pPr>
                      <w:r>
                        <w:rPr>
                          <w:rFonts w:ascii="Arial" w:hAnsi="Arial" w:cs="Arial"/>
                          <w:b/>
                        </w:rPr>
                        <w:t>Continuation in patients &gt; 75 years</w:t>
                      </w:r>
                    </w:p>
                    <w:p w:rsidR="002875B7" w:rsidRDefault="002875B7" w:rsidP="002875B7">
                      <w:pPr>
                        <w:rPr>
                          <w:rFonts w:ascii="Arial" w:hAnsi="Arial" w:cs="Arial"/>
                          <w:sz w:val="20"/>
                          <w:szCs w:val="20"/>
                        </w:rPr>
                      </w:pPr>
                      <w:r w:rsidRPr="002875B7">
                        <w:rPr>
                          <w:rFonts w:ascii="Arial" w:hAnsi="Arial" w:cs="Arial"/>
                          <w:sz w:val="20"/>
                          <w:szCs w:val="20"/>
                        </w:rPr>
                        <w:t>The SPC states</w:t>
                      </w:r>
                      <w:r>
                        <w:rPr>
                          <w:rFonts w:ascii="Arial" w:hAnsi="Arial" w:cs="Arial"/>
                          <w:sz w:val="20"/>
                          <w:szCs w:val="20"/>
                        </w:rPr>
                        <w:t xml:space="preserve"> that a</w:t>
                      </w:r>
                      <w:r w:rsidRPr="002875B7">
                        <w:rPr>
                          <w:rFonts w:ascii="Arial" w:hAnsi="Arial" w:cs="Arial"/>
                          <w:sz w:val="20"/>
                          <w:szCs w:val="20"/>
                        </w:rPr>
                        <w:t xml:space="preserve"> placebo-controlled 8-week trial of agomelatine 25-50mg/day in elderly depressed patients (≥ 65 years, N=222, of which 151 on agomelatine) demonstrated a statistically significant difference of 2.67 points on HAM-D total score, the primary outcome. Responder rate analysis favoured agomelatine. No improvement was observed in very elderly patients (≥75 years, N= 69, of which 48 on agomelatine).</w:t>
                      </w:r>
                    </w:p>
                    <w:p w:rsidR="002875B7" w:rsidRDefault="002875B7" w:rsidP="002875B7">
                      <w:pPr>
                        <w:rPr>
                          <w:rFonts w:ascii="Arial" w:hAnsi="Arial" w:cs="Arial"/>
                          <w:sz w:val="20"/>
                          <w:szCs w:val="20"/>
                        </w:rPr>
                      </w:pPr>
                      <w:r w:rsidRPr="002875B7">
                        <w:rPr>
                          <w:rFonts w:ascii="Arial" w:hAnsi="Arial" w:cs="Arial"/>
                          <w:sz w:val="20"/>
                          <w:szCs w:val="20"/>
                        </w:rPr>
                        <w:t>Tolerability of agomelatine in elderly patients was comparable to that seen in the younger adults.</w:t>
                      </w:r>
                    </w:p>
                    <w:p w:rsidR="00B02C58" w:rsidRDefault="002875B7" w:rsidP="002875B7">
                      <w:pPr>
                        <w:rPr>
                          <w:rFonts w:ascii="Arial" w:hAnsi="Arial" w:cs="Arial"/>
                          <w:sz w:val="20"/>
                          <w:szCs w:val="20"/>
                        </w:rPr>
                      </w:pPr>
                      <w:r>
                        <w:rPr>
                          <w:rFonts w:ascii="Arial" w:hAnsi="Arial" w:cs="Arial"/>
                          <w:sz w:val="20"/>
                          <w:szCs w:val="20"/>
                        </w:rPr>
                        <w:t>If a patient is being successfully treated with agomelatine before they reach 75 years then it should be continued.  If treatment becomes ineffective or no longer required then it should be stopped.</w:t>
                      </w:r>
                      <w:r w:rsidR="00B02C58">
                        <w:rPr>
                          <w:rFonts w:ascii="Arial" w:hAnsi="Arial" w:cs="Arial"/>
                          <w:sz w:val="20"/>
                          <w:szCs w:val="20"/>
                        </w:rPr>
                        <w:t xml:space="preserve"> </w:t>
                      </w:r>
                    </w:p>
                    <w:p w:rsidR="00B02C58" w:rsidRDefault="00B02C58" w:rsidP="002875B7">
                      <w:pPr>
                        <w:rPr>
                          <w:rFonts w:ascii="Arial" w:hAnsi="Arial" w:cs="Arial"/>
                          <w:sz w:val="20"/>
                          <w:szCs w:val="20"/>
                        </w:rPr>
                      </w:pPr>
                      <w:r>
                        <w:rPr>
                          <w:rFonts w:ascii="Arial" w:hAnsi="Arial" w:cs="Arial"/>
                          <w:sz w:val="20"/>
                          <w:szCs w:val="20"/>
                        </w:rPr>
                        <w:t xml:space="preserve">The patient can be referred back to KMPT </w:t>
                      </w:r>
                      <w:r>
                        <w:rPr>
                          <w:rFonts w:ascii="Arial" w:hAnsi="Arial" w:cs="Arial"/>
                          <w:sz w:val="20"/>
                          <w:szCs w:val="20"/>
                        </w:rPr>
                        <w:t>for assessment if required.</w:t>
                      </w:r>
                      <w:bookmarkStart w:id="1" w:name="_GoBack"/>
                      <w:bookmarkEnd w:id="1"/>
                    </w:p>
                    <w:p w:rsidR="002875B7" w:rsidRPr="002875B7" w:rsidRDefault="002875B7" w:rsidP="002875B7">
                      <w:pPr>
                        <w:rPr>
                          <w:rFonts w:ascii="Arial" w:hAnsi="Arial" w:cs="Arial"/>
                          <w:sz w:val="20"/>
                          <w:szCs w:val="20"/>
                        </w:rPr>
                      </w:pPr>
                      <w:r>
                        <w:rPr>
                          <w:rFonts w:ascii="Arial" w:hAnsi="Arial" w:cs="Arial"/>
                          <w:sz w:val="20"/>
                          <w:szCs w:val="20"/>
                        </w:rPr>
                        <w:t>Agomelatine should not be initiated in those over 75years of age.</w:t>
                      </w:r>
                    </w:p>
                  </w:txbxContent>
                </v:textbox>
              </v:shape>
            </w:pict>
          </mc:Fallback>
        </mc:AlternateContent>
      </w:r>
    </w:p>
    <w:p w:rsidR="002875B7" w:rsidRDefault="002875B7">
      <w:pPr>
        <w:rPr>
          <w:rFonts w:ascii="Arial" w:hAnsi="Arial" w:cs="Arial"/>
          <w:b/>
          <w:sz w:val="20"/>
          <w:szCs w:val="20"/>
        </w:rPr>
      </w:pPr>
    </w:p>
    <w:p w:rsidR="002875B7" w:rsidRDefault="002875B7">
      <w:pPr>
        <w:rPr>
          <w:rFonts w:ascii="Arial" w:hAnsi="Arial" w:cs="Arial"/>
          <w:b/>
          <w:sz w:val="20"/>
          <w:szCs w:val="20"/>
        </w:rPr>
      </w:pPr>
    </w:p>
    <w:p w:rsidR="002875B7" w:rsidRDefault="002875B7">
      <w:pPr>
        <w:rPr>
          <w:rFonts w:ascii="Arial" w:hAnsi="Arial" w:cs="Arial"/>
          <w:b/>
          <w:sz w:val="20"/>
          <w:szCs w:val="20"/>
        </w:rPr>
      </w:pPr>
    </w:p>
    <w:p w:rsidR="002875B7" w:rsidRDefault="002875B7">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B02C58">
      <w:pPr>
        <w:rPr>
          <w:rFonts w:ascii="Arial" w:hAnsi="Arial" w:cs="Arial"/>
          <w:b/>
          <w:sz w:val="20"/>
          <w:szCs w:val="20"/>
        </w:rPr>
      </w:pPr>
      <w:r w:rsidRPr="00324370">
        <w:rPr>
          <w:rFonts w:ascii="Arial" w:hAnsi="Arial" w:cs="Arial"/>
          <w:b/>
          <w:noProof/>
          <w:sz w:val="20"/>
          <w:szCs w:val="20"/>
          <w:lang w:eastAsia="en-GB"/>
        </w:rPr>
        <mc:AlternateContent>
          <mc:Choice Requires="wps">
            <w:drawing>
              <wp:anchor distT="0" distB="0" distL="114300" distR="114300" simplePos="0" relativeHeight="251671552" behindDoc="0" locked="0" layoutInCell="1" allowOverlap="1" wp14:anchorId="046D60D2" wp14:editId="732808EA">
                <wp:simplePos x="0" y="0"/>
                <wp:positionH relativeFrom="column">
                  <wp:posOffset>-154305</wp:posOffset>
                </wp:positionH>
                <wp:positionV relativeFrom="paragraph">
                  <wp:posOffset>-5715</wp:posOffset>
                </wp:positionV>
                <wp:extent cx="6015355" cy="1403985"/>
                <wp:effectExtent l="0" t="0" r="2349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403985"/>
                        </a:xfrm>
                        <a:prstGeom prst="rect">
                          <a:avLst/>
                        </a:prstGeom>
                        <a:solidFill>
                          <a:schemeClr val="bg1">
                            <a:lumMod val="95000"/>
                          </a:schemeClr>
                        </a:solidFill>
                        <a:ln w="9525">
                          <a:solidFill>
                            <a:srgbClr val="000000"/>
                          </a:solidFill>
                          <a:miter lim="800000"/>
                          <a:headEnd/>
                          <a:tailEnd/>
                        </a:ln>
                      </wps:spPr>
                      <wps:txbx>
                        <w:txbxContent>
                          <w:p w:rsidR="00324370" w:rsidRPr="00324370" w:rsidRDefault="00324370" w:rsidP="00324370">
                            <w:pPr>
                              <w:rPr>
                                <w:rFonts w:ascii="Arial" w:hAnsi="Arial" w:cs="Arial"/>
                                <w:b/>
                              </w:rPr>
                            </w:pPr>
                            <w:r w:rsidRPr="00324370">
                              <w:rPr>
                                <w:rFonts w:ascii="Arial" w:hAnsi="Arial" w:cs="Arial"/>
                                <w:b/>
                              </w:rPr>
                              <w:t>Contact details of Specialist team</w:t>
                            </w:r>
                          </w:p>
                          <w:p w:rsidR="00324370" w:rsidRPr="00324370" w:rsidRDefault="00324370" w:rsidP="00324370">
                            <w:pPr>
                              <w:rPr>
                                <w:rFonts w:ascii="Arial" w:hAnsi="Arial" w:cs="Arial"/>
                                <w:sz w:val="20"/>
                                <w:szCs w:val="20"/>
                              </w:rPr>
                            </w:pPr>
                            <w:r w:rsidRPr="00324370">
                              <w:rPr>
                                <w:rFonts w:ascii="Arial" w:hAnsi="Arial" w:cs="Arial"/>
                                <w:sz w:val="20"/>
                                <w:szCs w:val="20"/>
                              </w:rPr>
                              <w:t>Pharmacy Department, KMPT</w:t>
                            </w:r>
                          </w:p>
                          <w:p w:rsidR="00324370" w:rsidRPr="00324370" w:rsidRDefault="00324370" w:rsidP="00324370">
                            <w:pPr>
                              <w:rPr>
                                <w:rFonts w:ascii="Arial" w:hAnsi="Arial" w:cs="Arial"/>
                                <w:sz w:val="20"/>
                                <w:szCs w:val="20"/>
                              </w:rPr>
                            </w:pPr>
                            <w:r w:rsidRPr="00324370">
                              <w:rPr>
                                <w:rFonts w:ascii="Arial" w:hAnsi="Arial" w:cs="Arial"/>
                                <w:sz w:val="20"/>
                                <w:szCs w:val="20"/>
                              </w:rPr>
                              <w:t>Tel: 01227 812193</w:t>
                            </w:r>
                          </w:p>
                          <w:p w:rsidR="00324370" w:rsidRPr="00CF6D89" w:rsidRDefault="00324370" w:rsidP="00324370">
                            <w:pPr>
                              <w:rPr>
                                <w:rFonts w:ascii="Arial" w:hAnsi="Arial" w:cs="Arial"/>
                                <w:color w:val="1F497D"/>
                                <w:sz w:val="20"/>
                                <w:szCs w:val="20"/>
                              </w:rPr>
                            </w:pPr>
                            <w:r w:rsidRPr="00324370">
                              <w:rPr>
                                <w:rFonts w:ascii="Arial" w:hAnsi="Arial" w:cs="Arial"/>
                                <w:sz w:val="20"/>
                                <w:szCs w:val="20"/>
                              </w:rPr>
                              <w:t>Email</w:t>
                            </w:r>
                            <w:r w:rsidRPr="00CF6D89">
                              <w:rPr>
                                <w:rFonts w:ascii="Arial" w:hAnsi="Arial" w:cs="Arial"/>
                                <w:sz w:val="20"/>
                                <w:szCs w:val="20"/>
                              </w:rPr>
                              <w:t xml:space="preserve">: </w:t>
                            </w:r>
                            <w:hyperlink r:id="rId12" w:history="1">
                              <w:r w:rsidR="00CF6D89" w:rsidRPr="00CF6D89">
                                <w:rPr>
                                  <w:rStyle w:val="Hyperlink"/>
                                  <w:rFonts w:ascii="Arial" w:hAnsi="Arial" w:cs="Arial"/>
                                  <w:sz w:val="20"/>
                                  <w:szCs w:val="20"/>
                                </w:rPr>
                                <w:t>kmpt.pharmacy.eastkent@nhs.net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2.15pt;margin-top:-.45pt;width:473.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XvPQIAAG8EAAAOAAAAZHJzL2Uyb0RvYy54bWysVNtu2zAMfR+wfxD0vthO4zQx4hRdugwD&#10;ugvQ7gNkWbaF6TZJiZ19fSk5ydztbdiLIIr04eEh6c3dIAU6Muu4ViXOZilGTFFdc9WW+Pvz/t0K&#10;I+eJqonQipX4xBy+2759s+lNwea606JmFgGIckVvStx5b4okcbRjkriZNkyBs9FWEg+mbZPakh7Q&#10;pUjmabpMem1rYzVlzsHrw+jE24jfNIz6r03jmEeixMDNx9PGswpnst2QorXEdJyeaZB/YCEJV5D0&#10;CvVAPEEHy/+Ckpxa7XTjZ1TLRDcNpyzWANVk6R/VPHXEsFgLiOPMVSb3/2Dpl+M3i3hd4luMFJHQ&#10;omc2ePReD2ge1OmNKyDoyUCYH+AZuhwrdeZR0x8OKb3riGrZvbW67xipgV0Wvkwmn444LoBU/Wdd&#10;Qxpy8DoCDY2VQToQAwE6dOl07UygQuFxmWb5TZ5jRMGXLdKb9SqPOUhx+dxY5z8yLVG4lNhC6yM8&#10;OT46H+iQ4hISsjkteL3nQkQjjBvbCYuOBAalascSxUEC1/FtnadpHBfAidMZwiPqKyShUF/idT7P&#10;R5FeZbFtdc0BaBPAaZjkHlZCcFni1TWIFEHaD6qOA+sJF+Md2Ah11jrIOwrth2qITV1eWljp+gTi&#10;Wz1uAGwsXDptf2HUw/SX2P08EMswEp8UNHCdLRZhXaKxyG/nYNipp5p6iKIAVWKP0Xjd+bhiUVpz&#10;D43e89iCMBEjkzNlmOqo4XkDw9pM7Rj1+z+xfQEAAP//AwBQSwMEFAAGAAgAAAAhACCbYJDdAAAA&#10;CQEAAA8AAABkcnMvZG93bnJldi54bWxMj8FOwzAQRO9I/IO1SNxaGwdRGuJUCMGtB5JSzm68JBHx&#10;OordNvD1LCe47WpGM2+KzewHccIp9oEM3CwVCKQmuJ5aA2+7l8U9iJgsOTsEQgNfGGFTXl4UNnfh&#10;TBWe6tQKDqGYWwNdSmMuZWw69DYuw4jE2keYvE38Tq10kz1zuB+kVupOetsTN3R2xKcOm8/66Ll3&#10;P32vYq322r9nu6qqtq/Pq60x11fz4wOIhHP6M8MvPqNDyUyHcCQXxWBgoW8ztvKxBsH6Wme87WBA&#10;a6VBloX8v6D8AQAA//8DAFBLAQItABQABgAIAAAAIQC2gziS/gAAAOEBAAATAAAAAAAAAAAAAAAA&#10;AAAAAABbQ29udGVudF9UeXBlc10ueG1sUEsBAi0AFAAGAAgAAAAhADj9If/WAAAAlAEAAAsAAAAA&#10;AAAAAAAAAAAALwEAAF9yZWxzLy5yZWxzUEsBAi0AFAAGAAgAAAAhAAwXBe89AgAAbwQAAA4AAAAA&#10;AAAAAAAAAAAALgIAAGRycy9lMm9Eb2MueG1sUEsBAi0AFAAGAAgAAAAhACCbYJDdAAAACQEAAA8A&#10;AAAAAAAAAAAAAAAAlwQAAGRycy9kb3ducmV2LnhtbFBLBQYAAAAABAAEAPMAAAChBQAAAAA=&#10;" fillcolor="#f2f2f2 [3052]">
                <v:textbox style="mso-fit-shape-to-text:t">
                  <w:txbxContent>
                    <w:p w:rsidR="00324370" w:rsidRPr="00324370" w:rsidRDefault="00324370" w:rsidP="00324370">
                      <w:pPr>
                        <w:rPr>
                          <w:rFonts w:ascii="Arial" w:hAnsi="Arial" w:cs="Arial"/>
                          <w:b/>
                        </w:rPr>
                      </w:pPr>
                      <w:r w:rsidRPr="00324370">
                        <w:rPr>
                          <w:rFonts w:ascii="Arial" w:hAnsi="Arial" w:cs="Arial"/>
                          <w:b/>
                        </w:rPr>
                        <w:t>Contact details of Specialist team</w:t>
                      </w:r>
                    </w:p>
                    <w:p w:rsidR="00324370" w:rsidRPr="00324370" w:rsidRDefault="00324370" w:rsidP="00324370">
                      <w:pPr>
                        <w:rPr>
                          <w:rFonts w:ascii="Arial" w:hAnsi="Arial" w:cs="Arial"/>
                          <w:sz w:val="20"/>
                          <w:szCs w:val="20"/>
                        </w:rPr>
                      </w:pPr>
                      <w:r w:rsidRPr="00324370">
                        <w:rPr>
                          <w:rFonts w:ascii="Arial" w:hAnsi="Arial" w:cs="Arial"/>
                          <w:sz w:val="20"/>
                          <w:szCs w:val="20"/>
                        </w:rPr>
                        <w:t>Pharmacy Department, KMPT</w:t>
                      </w:r>
                    </w:p>
                    <w:p w:rsidR="00324370" w:rsidRPr="00324370" w:rsidRDefault="00324370" w:rsidP="00324370">
                      <w:pPr>
                        <w:rPr>
                          <w:rFonts w:ascii="Arial" w:hAnsi="Arial" w:cs="Arial"/>
                          <w:sz w:val="20"/>
                          <w:szCs w:val="20"/>
                        </w:rPr>
                      </w:pPr>
                      <w:r w:rsidRPr="00324370">
                        <w:rPr>
                          <w:rFonts w:ascii="Arial" w:hAnsi="Arial" w:cs="Arial"/>
                          <w:sz w:val="20"/>
                          <w:szCs w:val="20"/>
                        </w:rPr>
                        <w:t>Tel: 01227 812193</w:t>
                      </w:r>
                    </w:p>
                    <w:p w:rsidR="00324370" w:rsidRPr="00CF6D89" w:rsidRDefault="00324370" w:rsidP="00324370">
                      <w:pPr>
                        <w:rPr>
                          <w:rFonts w:ascii="Arial" w:hAnsi="Arial" w:cs="Arial"/>
                          <w:color w:val="1F497D"/>
                          <w:sz w:val="20"/>
                          <w:szCs w:val="20"/>
                        </w:rPr>
                      </w:pPr>
                      <w:r w:rsidRPr="00324370">
                        <w:rPr>
                          <w:rFonts w:ascii="Arial" w:hAnsi="Arial" w:cs="Arial"/>
                          <w:sz w:val="20"/>
                          <w:szCs w:val="20"/>
                        </w:rPr>
                        <w:t>Email</w:t>
                      </w:r>
                      <w:r w:rsidRPr="00CF6D89">
                        <w:rPr>
                          <w:rFonts w:ascii="Arial" w:hAnsi="Arial" w:cs="Arial"/>
                          <w:sz w:val="20"/>
                          <w:szCs w:val="20"/>
                        </w:rPr>
                        <w:t xml:space="preserve">: </w:t>
                      </w:r>
                      <w:hyperlink r:id="rId13" w:history="1">
                        <w:r w:rsidR="00CF6D89" w:rsidRPr="00CF6D89">
                          <w:rPr>
                            <w:rStyle w:val="Hyperlink"/>
                            <w:rFonts w:ascii="Arial" w:hAnsi="Arial" w:cs="Arial"/>
                            <w:sz w:val="20"/>
                            <w:szCs w:val="20"/>
                          </w:rPr>
                          <w:t>kmpt.pharmacy.eastkent@nhs.net</w:t>
                        </w:r>
                      </w:hyperlink>
                    </w:p>
                  </w:txbxContent>
                </v:textbox>
              </v:shape>
            </w:pict>
          </mc:Fallback>
        </mc:AlternateContent>
      </w: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sectPr w:rsidR="007459FA" w:rsidSect="00F37122">
      <w:headerReference w:type="default" r:id="rId14"/>
      <w:footerReference w:type="default" r:id="rId15"/>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22" w:rsidRDefault="00F37122" w:rsidP="00F37122">
      <w:pPr>
        <w:spacing w:after="0" w:line="240" w:lineRule="auto"/>
      </w:pPr>
      <w:r>
        <w:separator/>
      </w:r>
    </w:p>
  </w:endnote>
  <w:endnote w:type="continuationSeparator" w:id="0">
    <w:p w:rsidR="00F37122" w:rsidRDefault="00F37122" w:rsidP="00F3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22" w:rsidRDefault="00F37122" w:rsidP="00F37122">
    <w:pPr>
      <w:pStyle w:val="Footer"/>
      <w:rPr>
        <w:rFonts w:ascii="Arial" w:hAnsi="Arial" w:cs="Arial"/>
        <w:sz w:val="18"/>
        <w:szCs w:val="18"/>
      </w:rPr>
    </w:pPr>
    <w:r w:rsidRPr="00F37122">
      <w:rPr>
        <w:rFonts w:ascii="Arial" w:hAnsi="Arial" w:cs="Arial"/>
        <w:sz w:val="18"/>
        <w:szCs w:val="18"/>
      </w:rPr>
      <w:t xml:space="preserve">Approved by: East Kent Prescribing Group (Representing Ashford CCG, </w:t>
    </w:r>
  </w:p>
  <w:p w:rsidR="00F37122" w:rsidRPr="00F37122" w:rsidRDefault="00F37122" w:rsidP="00F37122">
    <w:pPr>
      <w:pStyle w:val="Footer"/>
      <w:rPr>
        <w:rFonts w:ascii="Arial" w:hAnsi="Arial" w:cs="Arial"/>
        <w:sz w:val="18"/>
        <w:szCs w:val="18"/>
      </w:rPr>
    </w:pPr>
    <w:r w:rsidRPr="00F37122">
      <w:rPr>
        <w:rFonts w:ascii="Arial" w:hAnsi="Arial" w:cs="Arial"/>
        <w:sz w:val="18"/>
        <w:szCs w:val="18"/>
      </w:rPr>
      <w:t>Canterbury and Coastal CCG, South Kent Coast CCG and Thanet CCG)</w:t>
    </w:r>
  </w:p>
  <w:p w:rsidR="00F37122" w:rsidRPr="00F37122" w:rsidRDefault="00F37122" w:rsidP="00F37122">
    <w:pPr>
      <w:pStyle w:val="Footer"/>
      <w:rPr>
        <w:rFonts w:ascii="Arial" w:hAnsi="Arial" w:cs="Arial"/>
        <w:sz w:val="18"/>
        <w:szCs w:val="18"/>
      </w:rPr>
    </w:pPr>
    <w:r w:rsidRPr="00F37122">
      <w:rPr>
        <w:rFonts w:ascii="Arial" w:hAnsi="Arial" w:cs="Arial"/>
        <w:sz w:val="18"/>
        <w:szCs w:val="18"/>
      </w:rPr>
      <w:t xml:space="preserve">Date: </w:t>
    </w:r>
    <w:r w:rsidR="00DE4258">
      <w:rPr>
        <w:rFonts w:ascii="Arial" w:hAnsi="Arial" w:cs="Arial"/>
        <w:sz w:val="18"/>
        <w:szCs w:val="18"/>
      </w:rPr>
      <w:t>May</w:t>
    </w:r>
    <w:r w:rsidRPr="00F37122">
      <w:rPr>
        <w:rFonts w:ascii="Arial" w:hAnsi="Arial" w:cs="Arial"/>
        <w:sz w:val="18"/>
        <w:szCs w:val="18"/>
      </w:rPr>
      <w:t xml:space="preserve"> 2019</w:t>
    </w:r>
  </w:p>
  <w:p w:rsidR="00F37122" w:rsidRPr="00F37122" w:rsidRDefault="00F37122" w:rsidP="00F37122">
    <w:pPr>
      <w:pStyle w:val="Footer"/>
      <w:rPr>
        <w:rFonts w:ascii="Arial" w:hAnsi="Arial" w:cs="Arial"/>
        <w:sz w:val="18"/>
        <w:szCs w:val="18"/>
      </w:rPr>
    </w:pPr>
    <w:r w:rsidRPr="00F37122">
      <w:rPr>
        <w:rFonts w:ascii="Arial" w:hAnsi="Arial" w:cs="Arial"/>
        <w:sz w:val="18"/>
        <w:szCs w:val="18"/>
      </w:rPr>
      <w:t>Address: c/o Canterbury and Coastal CCG, Council Offices, Military Road, Canterbury, CT1 1YW</w:t>
    </w:r>
    <w:r>
      <w:rPr>
        <w:rFonts w:ascii="Arial" w:hAnsi="Arial" w:cs="Arial"/>
        <w:sz w:val="18"/>
        <w:szCs w:val="18"/>
      </w:rPr>
      <w:tab/>
    </w:r>
    <w:r>
      <w:rPr>
        <w:rFonts w:ascii="Arial" w:hAnsi="Arial" w:cs="Arial"/>
        <w:sz w:val="18"/>
        <w:szCs w:val="18"/>
      </w:rPr>
      <w:tab/>
    </w:r>
    <w:r w:rsidRPr="00F37122">
      <w:rPr>
        <w:rFonts w:ascii="Arial" w:hAnsi="Arial" w:cs="Arial"/>
        <w:sz w:val="18"/>
        <w:szCs w:val="18"/>
      </w:rPr>
      <w:t xml:space="preserve">Page </w:t>
    </w:r>
    <w:r w:rsidRPr="00F37122">
      <w:rPr>
        <w:rFonts w:ascii="Arial" w:hAnsi="Arial" w:cs="Arial"/>
        <w:b/>
        <w:sz w:val="18"/>
        <w:szCs w:val="18"/>
      </w:rPr>
      <w:fldChar w:fldCharType="begin"/>
    </w:r>
    <w:r w:rsidRPr="00F37122">
      <w:rPr>
        <w:rFonts w:ascii="Arial" w:hAnsi="Arial" w:cs="Arial"/>
        <w:b/>
        <w:sz w:val="18"/>
        <w:szCs w:val="18"/>
      </w:rPr>
      <w:instrText xml:space="preserve"> PAGE  \* Arabic  \* MERGEFORMAT </w:instrText>
    </w:r>
    <w:r w:rsidRPr="00F37122">
      <w:rPr>
        <w:rFonts w:ascii="Arial" w:hAnsi="Arial" w:cs="Arial"/>
        <w:b/>
        <w:sz w:val="18"/>
        <w:szCs w:val="18"/>
      </w:rPr>
      <w:fldChar w:fldCharType="separate"/>
    </w:r>
    <w:r w:rsidR="00DE4258">
      <w:rPr>
        <w:rFonts w:ascii="Arial" w:hAnsi="Arial" w:cs="Arial"/>
        <w:b/>
        <w:noProof/>
        <w:sz w:val="18"/>
        <w:szCs w:val="18"/>
      </w:rPr>
      <w:t>4</w:t>
    </w:r>
    <w:r w:rsidRPr="00F37122">
      <w:rPr>
        <w:rFonts w:ascii="Arial" w:hAnsi="Arial" w:cs="Arial"/>
        <w:b/>
        <w:sz w:val="18"/>
        <w:szCs w:val="18"/>
      </w:rPr>
      <w:fldChar w:fldCharType="end"/>
    </w:r>
    <w:r w:rsidRPr="00F37122">
      <w:rPr>
        <w:rFonts w:ascii="Arial" w:hAnsi="Arial" w:cs="Arial"/>
        <w:sz w:val="18"/>
        <w:szCs w:val="18"/>
      </w:rPr>
      <w:t xml:space="preserve"> of </w:t>
    </w:r>
    <w:r w:rsidRPr="00F37122">
      <w:rPr>
        <w:rFonts w:ascii="Arial" w:hAnsi="Arial" w:cs="Arial"/>
        <w:b/>
        <w:sz w:val="18"/>
        <w:szCs w:val="18"/>
      </w:rPr>
      <w:fldChar w:fldCharType="begin"/>
    </w:r>
    <w:r w:rsidRPr="00F37122">
      <w:rPr>
        <w:rFonts w:ascii="Arial" w:hAnsi="Arial" w:cs="Arial"/>
        <w:b/>
        <w:sz w:val="18"/>
        <w:szCs w:val="18"/>
      </w:rPr>
      <w:instrText xml:space="preserve"> NUMPAGES  \* Arabic  \* MERGEFORMAT </w:instrText>
    </w:r>
    <w:r w:rsidRPr="00F37122">
      <w:rPr>
        <w:rFonts w:ascii="Arial" w:hAnsi="Arial" w:cs="Arial"/>
        <w:b/>
        <w:sz w:val="18"/>
        <w:szCs w:val="18"/>
      </w:rPr>
      <w:fldChar w:fldCharType="separate"/>
    </w:r>
    <w:r w:rsidR="00DE4258">
      <w:rPr>
        <w:rFonts w:ascii="Arial" w:hAnsi="Arial" w:cs="Arial"/>
        <w:b/>
        <w:noProof/>
        <w:sz w:val="18"/>
        <w:szCs w:val="18"/>
      </w:rPr>
      <w:t>4</w:t>
    </w:r>
    <w:r w:rsidRPr="00F37122">
      <w:rPr>
        <w:rFonts w:ascii="Arial" w:hAnsi="Arial" w:cs="Arial"/>
        <w:b/>
        <w:sz w:val="18"/>
        <w:szCs w:val="18"/>
      </w:rPr>
      <w:fldChar w:fldCharType="end"/>
    </w:r>
  </w:p>
  <w:p w:rsidR="00F37122" w:rsidRPr="00F37122" w:rsidRDefault="00F37122" w:rsidP="00F37122">
    <w:pPr>
      <w:spacing w:before="14"/>
      <w:rPr>
        <w:sz w:val="18"/>
      </w:rPr>
    </w:pPr>
    <w:r w:rsidRPr="00F37122">
      <w:rPr>
        <w:rFonts w:ascii="Arial" w:hAnsi="Arial" w:cs="Arial"/>
        <w:b/>
        <w:color w:val="333333"/>
        <w:sz w:val="18"/>
        <w:szCs w:val="18"/>
      </w:rPr>
      <w:t xml:space="preserve">Contact: </w:t>
    </w:r>
    <w:r w:rsidRPr="00F37122">
      <w:rPr>
        <w:rFonts w:ascii="Arial" w:hAnsi="Arial" w:cs="Arial"/>
        <w:color w:val="333333"/>
        <w:sz w:val="18"/>
        <w:szCs w:val="18"/>
      </w:rPr>
      <w:t xml:space="preserve">T: 01227 791359 | E: </w:t>
    </w:r>
    <w:r w:rsidRPr="00F37122">
      <w:rPr>
        <w:rFonts w:ascii="Arial" w:hAnsi="Arial" w:cs="Arial"/>
        <w:color w:val="0000FF"/>
        <w:sz w:val="18"/>
        <w:szCs w:val="18"/>
        <w:u w:val="single" w:color="0000FF"/>
      </w:rPr>
      <w:t>accg.eastkent.prescribing@nhs.net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22" w:rsidRDefault="00F37122" w:rsidP="00F37122">
      <w:pPr>
        <w:spacing w:after="0" w:line="240" w:lineRule="auto"/>
      </w:pPr>
      <w:r>
        <w:separator/>
      </w:r>
    </w:p>
  </w:footnote>
  <w:footnote w:type="continuationSeparator" w:id="0">
    <w:p w:rsidR="00F37122" w:rsidRDefault="00F37122" w:rsidP="00F37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22" w:rsidRPr="00F37122" w:rsidRDefault="00F37122" w:rsidP="00F37122">
    <w:pPr>
      <w:spacing w:before="7"/>
      <w:ind w:left="20"/>
      <w:rPr>
        <w:i/>
        <w:sz w:val="40"/>
      </w:rPr>
    </w:pPr>
    <w:r>
      <w:rPr>
        <w:noProof/>
        <w:lang w:eastAsia="en-GB"/>
      </w:rPr>
      <w:drawing>
        <wp:anchor distT="0" distB="0" distL="0" distR="0" simplePos="0" relativeHeight="251659264" behindDoc="1" locked="0" layoutInCell="1" allowOverlap="1" wp14:anchorId="47CC1272" wp14:editId="7AEC7667">
          <wp:simplePos x="0" y="0"/>
          <wp:positionH relativeFrom="page">
            <wp:posOffset>5951855</wp:posOffset>
          </wp:positionH>
          <wp:positionV relativeFrom="page">
            <wp:posOffset>408940</wp:posOffset>
          </wp:positionV>
          <wp:extent cx="1075690" cy="4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5690" cy="438150"/>
                  </a:xfrm>
                  <a:prstGeom prst="rect">
                    <a:avLst/>
                  </a:prstGeom>
                </pic:spPr>
              </pic:pic>
            </a:graphicData>
          </a:graphic>
        </wp:anchor>
      </w:drawing>
    </w:r>
    <w:r>
      <w:rPr>
        <w:i/>
        <w:sz w:val="40"/>
      </w:rPr>
      <w:t>East Kent Prescribing Group</w:t>
    </w:r>
    <w:r>
      <w:rPr>
        <w:i/>
        <w:sz w:val="40"/>
      </w:rPr>
      <w:tab/>
    </w:r>
    <w:r>
      <w:rPr>
        <w:i/>
        <w:sz w:val="40"/>
      </w:rPr>
      <w:tab/>
    </w:r>
    <w:r>
      <w:rPr>
        <w:i/>
        <w:sz w:val="40"/>
      </w:rPr>
      <w:tab/>
    </w:r>
    <w:r>
      <w:rPr>
        <w:i/>
        <w:sz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22"/>
    <w:rsid w:val="00177C38"/>
    <w:rsid w:val="00197D6D"/>
    <w:rsid w:val="002875B7"/>
    <w:rsid w:val="00324370"/>
    <w:rsid w:val="00484440"/>
    <w:rsid w:val="00500211"/>
    <w:rsid w:val="006430BD"/>
    <w:rsid w:val="006F218E"/>
    <w:rsid w:val="00714DE8"/>
    <w:rsid w:val="007459FA"/>
    <w:rsid w:val="009A4F86"/>
    <w:rsid w:val="00B02C58"/>
    <w:rsid w:val="00CB1CD4"/>
    <w:rsid w:val="00CF6D89"/>
    <w:rsid w:val="00D03BF4"/>
    <w:rsid w:val="00DE4258"/>
    <w:rsid w:val="00F3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A4F86"/>
    <w:pPr>
      <w:widowControl w:val="0"/>
      <w:autoSpaceDE w:val="0"/>
      <w:autoSpaceDN w:val="0"/>
      <w:spacing w:after="0" w:line="240" w:lineRule="auto"/>
      <w:ind w:left="237"/>
      <w:outlineLvl w:val="1"/>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22"/>
  </w:style>
  <w:style w:type="paragraph" w:styleId="Footer">
    <w:name w:val="footer"/>
    <w:basedOn w:val="Normal"/>
    <w:link w:val="FooterChar"/>
    <w:uiPriority w:val="99"/>
    <w:unhideWhenUsed/>
    <w:rsid w:val="00F3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22"/>
  </w:style>
  <w:style w:type="paragraph" w:styleId="BalloonText">
    <w:name w:val="Balloon Text"/>
    <w:basedOn w:val="Normal"/>
    <w:link w:val="BalloonTextChar"/>
    <w:uiPriority w:val="99"/>
    <w:semiHidden/>
    <w:unhideWhenUsed/>
    <w:rsid w:val="009A4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F86"/>
    <w:rPr>
      <w:rFonts w:ascii="Tahoma" w:hAnsi="Tahoma" w:cs="Tahoma"/>
      <w:sz w:val="16"/>
      <w:szCs w:val="16"/>
    </w:rPr>
  </w:style>
  <w:style w:type="character" w:customStyle="1" w:styleId="Heading2Char">
    <w:name w:val="Heading 2 Char"/>
    <w:basedOn w:val="DefaultParagraphFont"/>
    <w:link w:val="Heading2"/>
    <w:uiPriority w:val="1"/>
    <w:rsid w:val="009A4F86"/>
    <w:rPr>
      <w:rFonts w:ascii="Arial" w:eastAsia="Arial" w:hAnsi="Arial" w:cs="Arial"/>
      <w:b/>
      <w:bCs/>
      <w:lang w:eastAsia="en-GB" w:bidi="en-GB"/>
    </w:rPr>
  </w:style>
  <w:style w:type="paragraph" w:styleId="BodyText">
    <w:name w:val="Body Text"/>
    <w:basedOn w:val="Normal"/>
    <w:link w:val="BodyTextChar"/>
    <w:uiPriority w:val="1"/>
    <w:qFormat/>
    <w:rsid w:val="009A4F86"/>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9A4F86"/>
    <w:rPr>
      <w:rFonts w:ascii="Arial" w:eastAsia="Arial" w:hAnsi="Arial" w:cs="Arial"/>
      <w:sz w:val="20"/>
      <w:szCs w:val="20"/>
      <w:lang w:eastAsia="en-GB" w:bidi="en-GB"/>
    </w:rPr>
  </w:style>
  <w:style w:type="character" w:styleId="Hyperlink">
    <w:name w:val="Hyperlink"/>
    <w:basedOn w:val="DefaultParagraphFont"/>
    <w:uiPriority w:val="99"/>
    <w:unhideWhenUsed/>
    <w:rsid w:val="00CF6D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A4F86"/>
    <w:pPr>
      <w:widowControl w:val="0"/>
      <w:autoSpaceDE w:val="0"/>
      <w:autoSpaceDN w:val="0"/>
      <w:spacing w:after="0" w:line="240" w:lineRule="auto"/>
      <w:ind w:left="237"/>
      <w:outlineLvl w:val="1"/>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22"/>
  </w:style>
  <w:style w:type="paragraph" w:styleId="Footer">
    <w:name w:val="footer"/>
    <w:basedOn w:val="Normal"/>
    <w:link w:val="FooterChar"/>
    <w:uiPriority w:val="99"/>
    <w:unhideWhenUsed/>
    <w:rsid w:val="00F3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22"/>
  </w:style>
  <w:style w:type="paragraph" w:styleId="BalloonText">
    <w:name w:val="Balloon Text"/>
    <w:basedOn w:val="Normal"/>
    <w:link w:val="BalloonTextChar"/>
    <w:uiPriority w:val="99"/>
    <w:semiHidden/>
    <w:unhideWhenUsed/>
    <w:rsid w:val="009A4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F86"/>
    <w:rPr>
      <w:rFonts w:ascii="Tahoma" w:hAnsi="Tahoma" w:cs="Tahoma"/>
      <w:sz w:val="16"/>
      <w:szCs w:val="16"/>
    </w:rPr>
  </w:style>
  <w:style w:type="character" w:customStyle="1" w:styleId="Heading2Char">
    <w:name w:val="Heading 2 Char"/>
    <w:basedOn w:val="DefaultParagraphFont"/>
    <w:link w:val="Heading2"/>
    <w:uiPriority w:val="1"/>
    <w:rsid w:val="009A4F86"/>
    <w:rPr>
      <w:rFonts w:ascii="Arial" w:eastAsia="Arial" w:hAnsi="Arial" w:cs="Arial"/>
      <w:b/>
      <w:bCs/>
      <w:lang w:eastAsia="en-GB" w:bidi="en-GB"/>
    </w:rPr>
  </w:style>
  <w:style w:type="paragraph" w:styleId="BodyText">
    <w:name w:val="Body Text"/>
    <w:basedOn w:val="Normal"/>
    <w:link w:val="BodyTextChar"/>
    <w:uiPriority w:val="1"/>
    <w:qFormat/>
    <w:rsid w:val="009A4F86"/>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9A4F86"/>
    <w:rPr>
      <w:rFonts w:ascii="Arial" w:eastAsia="Arial" w:hAnsi="Arial" w:cs="Arial"/>
      <w:sz w:val="20"/>
      <w:szCs w:val="20"/>
      <w:lang w:eastAsia="en-GB" w:bidi="en-GB"/>
    </w:rPr>
  </w:style>
  <w:style w:type="character" w:styleId="Hyperlink">
    <w:name w:val="Hyperlink"/>
    <w:basedOn w:val="DefaultParagraphFont"/>
    <w:uiPriority w:val="99"/>
    <w:unhideWhenUsed/>
    <w:rsid w:val="00CF6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rmm-directory/V" TargetMode="External"/><Relationship Id="rId13" Type="http://schemas.openxmlformats.org/officeDocument/2006/relationships/hyperlink" Target="mailto:kmpt.pharmacy.eastkent@nhs.net" TargetMode="External"/><Relationship Id="rId3" Type="http://schemas.openxmlformats.org/officeDocument/2006/relationships/settings" Target="settings.xml"/><Relationship Id="rId7" Type="http://schemas.openxmlformats.org/officeDocument/2006/relationships/hyperlink" Target="http://www.emc.medicines.org.uk/" TargetMode="External"/><Relationship Id="rId12" Type="http://schemas.openxmlformats.org/officeDocument/2006/relationships/hyperlink" Target="mailto:kmpt.pharmacy.eastkent@nhs.ne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medicines.org.uk/emc/rmm-directory/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dicines.org.uk/emc/rmm-directory/V" TargetMode="External"/><Relationship Id="rId4" Type="http://schemas.openxmlformats.org/officeDocument/2006/relationships/webSettings" Target="webSettings.xml"/><Relationship Id="rId9" Type="http://schemas.openxmlformats.org/officeDocument/2006/relationships/hyperlink" Target="https://www.medicines.org.uk/emc/rmm-directory/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Karen</dc:creator>
  <cp:lastModifiedBy>BARTLETT Karen</cp:lastModifiedBy>
  <cp:revision>3</cp:revision>
  <dcterms:created xsi:type="dcterms:W3CDTF">2019-05-01T09:31:00Z</dcterms:created>
  <dcterms:modified xsi:type="dcterms:W3CDTF">2019-05-01T09:32:00Z</dcterms:modified>
</cp:coreProperties>
</file>