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6D" w:rsidRPr="00197D6D" w:rsidRDefault="00197D6D" w:rsidP="00197D6D">
      <w:pPr>
        <w:widowControl w:val="0"/>
        <w:tabs>
          <w:tab w:val="left" w:pos="6456"/>
        </w:tabs>
        <w:autoSpaceDE w:val="0"/>
        <w:autoSpaceDN w:val="0"/>
        <w:spacing w:before="241" w:after="0" w:line="240" w:lineRule="auto"/>
        <w:ind w:left="237"/>
        <w:rPr>
          <w:rFonts w:ascii="Arial" w:eastAsia="Arial" w:hAnsi="Arial" w:cs="Arial"/>
          <w:sz w:val="44"/>
          <w:lang w:eastAsia="en-GB" w:bidi="en-GB"/>
        </w:rPr>
      </w:pPr>
      <w:r w:rsidRPr="00197D6D">
        <w:rPr>
          <w:rFonts w:ascii="Arial" w:eastAsia="Arial" w:hAnsi="Arial" w:cs="Arial"/>
          <w:noProof/>
          <w:lang w:eastAsia="en-GB"/>
        </w:rPr>
        <mc:AlternateContent>
          <mc:Choice Requires="wps">
            <w:drawing>
              <wp:anchor distT="0" distB="0" distL="114300" distR="114300" simplePos="0" relativeHeight="251659264" behindDoc="0" locked="0" layoutInCell="1" allowOverlap="1" wp14:anchorId="0624E110" wp14:editId="0624E111">
                <wp:simplePos x="0" y="0"/>
                <wp:positionH relativeFrom="page">
                  <wp:posOffset>874395</wp:posOffset>
                </wp:positionH>
                <wp:positionV relativeFrom="paragraph">
                  <wp:posOffset>541020</wp:posOffset>
                </wp:positionV>
                <wp:extent cx="6235700" cy="0"/>
                <wp:effectExtent l="26670" t="26670" r="24130" b="20955"/>
                <wp:wrapNone/>
                <wp:docPr id="7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38100">
                          <a:solidFill>
                            <a:srgbClr val="0033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B58666" id="Line 6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85pt,42.6pt" to="559.8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" strokecolor="#036" strokeweight="3pt">
                <w10:wrap anchorx="page"/>
              </v:line>
            </w:pict>
          </mc:Fallback>
        </mc:AlternateContent>
      </w:r>
      <w:r w:rsidRPr="00197D6D">
        <w:rPr>
          <w:rFonts w:ascii="Arial" w:eastAsia="Arial" w:hAnsi="Arial" w:cs="Arial"/>
          <w:color w:val="003300"/>
          <w:sz w:val="44"/>
          <w:lang w:eastAsia="en-GB" w:bidi="en-GB"/>
        </w:rPr>
        <w:t>Prescribing</w:t>
      </w:r>
      <w:r w:rsidRPr="00197D6D">
        <w:rPr>
          <w:rFonts w:ascii="Arial" w:eastAsia="Arial" w:hAnsi="Arial" w:cs="Arial"/>
          <w:color w:val="003300"/>
          <w:spacing w:val="-4"/>
          <w:sz w:val="44"/>
          <w:lang w:eastAsia="en-GB" w:bidi="en-GB"/>
        </w:rPr>
        <w:t xml:space="preserve"> </w:t>
      </w:r>
      <w:r w:rsidRPr="00197D6D">
        <w:rPr>
          <w:rFonts w:ascii="Arial" w:eastAsia="Arial" w:hAnsi="Arial" w:cs="Arial"/>
          <w:color w:val="003300"/>
          <w:sz w:val="44"/>
          <w:lang w:eastAsia="en-GB" w:bidi="en-GB"/>
        </w:rPr>
        <w:t>Information</w:t>
      </w:r>
      <w:r w:rsidRPr="00197D6D">
        <w:rPr>
          <w:rFonts w:ascii="Arial" w:eastAsia="Arial" w:hAnsi="Arial" w:cs="Arial"/>
          <w:color w:val="003300"/>
          <w:spacing w:val="-3"/>
          <w:sz w:val="44"/>
          <w:lang w:eastAsia="en-GB" w:bidi="en-GB"/>
        </w:rPr>
        <w:t xml:space="preserve"> </w:t>
      </w:r>
      <w:r>
        <w:rPr>
          <w:rFonts w:ascii="Arial" w:eastAsia="Arial" w:hAnsi="Arial" w:cs="Arial"/>
          <w:color w:val="003300"/>
          <w:sz w:val="44"/>
          <w:lang w:eastAsia="en-GB" w:bidi="en-GB"/>
        </w:rPr>
        <w:t xml:space="preserve">Sheet </w:t>
      </w:r>
      <w:r w:rsidRPr="00197D6D">
        <w:rPr>
          <w:rFonts w:ascii="Arial" w:eastAsia="Arial" w:hAnsi="Arial" w:cs="Arial"/>
          <w:color w:val="003300"/>
          <w:sz w:val="44"/>
          <w:lang w:eastAsia="en-GB" w:bidi="en-GB"/>
        </w:rPr>
        <w:t>February 2019</w:t>
      </w:r>
    </w:p>
    <w:p w:rsidR="00197D6D" w:rsidRPr="00197D6D" w:rsidRDefault="00197D6D" w:rsidP="00197D6D">
      <w:pPr>
        <w:widowControl w:val="0"/>
        <w:autoSpaceDE w:val="0"/>
        <w:autoSpaceDN w:val="0"/>
        <w:spacing w:before="1" w:after="0" w:line="240" w:lineRule="auto"/>
        <w:rPr>
          <w:rFonts w:ascii="Arial" w:eastAsia="Arial" w:hAnsi="Arial" w:cs="Arial"/>
          <w:sz w:val="44"/>
          <w:szCs w:val="44"/>
          <w:lang w:eastAsia="en-GB" w:bidi="en-GB"/>
        </w:rPr>
      </w:pPr>
    </w:p>
    <w:p w:rsidR="00197D6D" w:rsidRDefault="00F02853" w:rsidP="00197D6D">
      <w:pPr>
        <w:widowControl w:val="0"/>
        <w:autoSpaceDE w:val="0"/>
        <w:autoSpaceDN w:val="0"/>
        <w:spacing w:before="1" w:after="0" w:line="240" w:lineRule="auto"/>
        <w:ind w:left="2673" w:right="295" w:hanging="2367"/>
        <w:rPr>
          <w:rFonts w:ascii="Arial" w:eastAsia="Arial" w:hAnsi="Arial" w:cs="Arial"/>
          <w:b/>
          <w:color w:val="0071C5"/>
          <w:sz w:val="40"/>
          <w:lang w:eastAsia="en-GB" w:bidi="en-GB"/>
        </w:rPr>
      </w:pPr>
      <w:r>
        <w:rPr>
          <w:rFonts w:ascii="Arial" w:eastAsia="Arial" w:hAnsi="Arial" w:cs="Arial"/>
          <w:b/>
          <w:color w:val="0071C5"/>
          <w:sz w:val="40"/>
          <w:lang w:eastAsia="en-GB" w:bidi="en-GB"/>
        </w:rPr>
        <w:t>Vortioxetine</w:t>
      </w:r>
      <w:r w:rsidR="00197D6D" w:rsidRPr="00197D6D">
        <w:rPr>
          <w:rFonts w:ascii="Arial" w:eastAsia="Arial" w:hAnsi="Arial" w:cs="Arial"/>
          <w:b/>
          <w:color w:val="0071C5"/>
          <w:sz w:val="40"/>
          <w:lang w:eastAsia="en-GB" w:bidi="en-GB"/>
        </w:rPr>
        <w:t xml:space="preserve"> (</w:t>
      </w:r>
      <w:r w:rsidRPr="00F02853">
        <w:rPr>
          <w:rFonts w:ascii="Arial" w:eastAsia="Arial" w:hAnsi="Arial" w:cs="Arial"/>
          <w:b/>
          <w:color w:val="0071C5"/>
          <w:sz w:val="40"/>
          <w:lang w:eastAsia="en-GB" w:bidi="en-GB"/>
        </w:rPr>
        <w:t>Brintellix</w:t>
      </w:r>
      <w:r w:rsidR="00197D6D" w:rsidRPr="00197D6D">
        <w:rPr>
          <w:rFonts w:ascii="Arial" w:eastAsia="Arial" w:hAnsi="Arial" w:cs="Arial"/>
          <w:b/>
          <w:color w:val="0071C5"/>
          <w:sz w:val="40"/>
          <w:lang w:eastAsia="en-GB" w:bidi="en-GB"/>
        </w:rPr>
        <w:t xml:space="preserve"> </w:t>
      </w:r>
      <w:r w:rsidR="00197D6D" w:rsidRPr="00197D6D">
        <w:rPr>
          <w:rFonts w:ascii="Arial" w:eastAsia="Arial" w:hAnsi="Arial" w:cs="Arial"/>
          <w:b/>
          <w:color w:val="0071C5"/>
          <w:sz w:val="40"/>
          <w:vertAlign w:val="superscript"/>
          <w:lang w:eastAsia="en-GB" w:bidi="en-GB"/>
        </w:rPr>
        <w:t>®</w:t>
      </w:r>
      <w:r w:rsidR="00197D6D" w:rsidRPr="00197D6D">
        <w:rPr>
          <w:rFonts w:ascii="Arial" w:eastAsia="Arial" w:hAnsi="Arial" w:cs="Arial"/>
          <w:b/>
          <w:color w:val="0071C5"/>
          <w:sz w:val="40"/>
          <w:lang w:eastAsia="en-GB" w:bidi="en-GB"/>
        </w:rPr>
        <w:t>) – third line for major depression</w:t>
      </w:r>
    </w:p>
    <w:p w:rsidR="00197D6D" w:rsidRPr="002A5A1E" w:rsidRDefault="00197D6D" w:rsidP="00197D6D">
      <w:pPr>
        <w:widowControl w:val="0"/>
        <w:autoSpaceDE w:val="0"/>
        <w:autoSpaceDN w:val="0"/>
        <w:spacing w:before="1" w:after="0" w:line="240" w:lineRule="auto"/>
        <w:ind w:left="2673" w:right="295" w:hanging="2367"/>
        <w:rPr>
          <w:rFonts w:ascii="Arial" w:eastAsia="Arial" w:hAnsi="Arial" w:cs="Arial"/>
          <w:b/>
          <w:color w:val="0071C5"/>
          <w:sz w:val="20"/>
          <w:szCs w:val="20"/>
          <w:lang w:eastAsia="en-GB" w:bidi="en-GB"/>
        </w:rPr>
      </w:pPr>
    </w:p>
    <w:p w:rsidR="00197D6D" w:rsidRPr="00197D6D" w:rsidRDefault="009A4F86" w:rsidP="00197D6D">
      <w:pPr>
        <w:widowControl w:val="0"/>
        <w:autoSpaceDE w:val="0"/>
        <w:autoSpaceDN w:val="0"/>
        <w:spacing w:before="1" w:after="0" w:line="240" w:lineRule="auto"/>
        <w:ind w:left="2673" w:right="295" w:hanging="2673"/>
        <w:rPr>
          <w:rFonts w:ascii="Arial" w:eastAsia="Arial" w:hAnsi="Arial" w:cs="Arial"/>
          <w:b/>
          <w:sz w:val="20"/>
          <w:szCs w:val="20"/>
          <w:lang w:eastAsia="en-GB" w:bidi="en-GB"/>
        </w:rPr>
      </w:pPr>
      <w:r w:rsidRPr="009A4F86">
        <w:rPr>
          <w:rFonts w:ascii="Arial" w:eastAsia="Arial" w:hAnsi="Arial" w:cs="Arial"/>
          <w:b/>
          <w:noProof/>
          <w:sz w:val="20"/>
          <w:szCs w:val="20"/>
          <w:lang w:eastAsia="en-GB"/>
        </w:rPr>
        <mc:AlternateContent>
          <mc:Choice Requires="wps">
            <w:drawing>
              <wp:anchor distT="0" distB="0" distL="114300" distR="114300" simplePos="0" relativeHeight="251661312" behindDoc="0" locked="0" layoutInCell="1" allowOverlap="1" wp14:anchorId="0624E112" wp14:editId="0624E113">
                <wp:simplePos x="0" y="0"/>
                <wp:positionH relativeFrom="column">
                  <wp:align>center</wp:align>
                </wp:positionH>
                <wp:positionV relativeFrom="paragraph">
                  <wp:posOffset>0</wp:posOffset>
                </wp:positionV>
                <wp:extent cx="5667541" cy="1403985"/>
                <wp:effectExtent l="0" t="0" r="2857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41" cy="1403985"/>
                        </a:xfrm>
                        <a:prstGeom prst="rect">
                          <a:avLst/>
                        </a:prstGeom>
                        <a:solidFill>
                          <a:schemeClr val="accent1">
                            <a:lumMod val="20000"/>
                            <a:lumOff val="80000"/>
                          </a:schemeClr>
                        </a:solidFill>
                        <a:ln w="9525">
                          <a:solidFill>
                            <a:srgbClr val="000000"/>
                          </a:solidFill>
                          <a:miter lim="800000"/>
                          <a:headEnd/>
                          <a:tailEnd/>
                        </a:ln>
                      </wps:spPr>
                      <wps:txbx>
                        <w:txbxContent>
                          <w:p w:rsidR="009A4F86" w:rsidRPr="009A4F86" w:rsidRDefault="009A4F86" w:rsidP="009A4F86">
                            <w:pPr>
                              <w:rPr>
                                <w:rFonts w:ascii="Arial" w:hAnsi="Arial" w:cs="Arial"/>
                                <w:b/>
                              </w:rPr>
                            </w:pPr>
                            <w:r w:rsidRPr="009A4F86">
                              <w:rPr>
                                <w:rFonts w:ascii="Arial" w:hAnsi="Arial" w:cs="Arial"/>
                                <w:b/>
                              </w:rPr>
                              <w:t>Formulary Status</w:t>
                            </w:r>
                          </w:p>
                          <w:p w:rsidR="009A4F86" w:rsidRPr="009A4F86" w:rsidRDefault="009A4F86" w:rsidP="009A4F86">
                            <w:pPr>
                              <w:rPr>
                                <w:rFonts w:ascii="Arial" w:hAnsi="Arial" w:cs="Arial"/>
                                <w:sz w:val="20"/>
                                <w:szCs w:val="20"/>
                              </w:rPr>
                            </w:pPr>
                            <w:r w:rsidRPr="009A4F86">
                              <w:rPr>
                                <w:rFonts w:ascii="Arial" w:hAnsi="Arial" w:cs="Arial"/>
                                <w:sz w:val="20"/>
                                <w:szCs w:val="20"/>
                              </w:rPr>
                              <w:t>For the treatment of major depressive episodes in patients for whom other anti-depressants have not been efficacious or when potential or actual side effects of other anti-depressants prohibit use</w:t>
                            </w:r>
                          </w:p>
                          <w:p w:rsidR="009A4F86" w:rsidRPr="009A4F86" w:rsidRDefault="009A4F86" w:rsidP="009A4F86">
                            <w:pPr>
                              <w:rPr>
                                <w:rFonts w:ascii="Arial" w:hAnsi="Arial" w:cs="Arial"/>
                                <w:sz w:val="20"/>
                                <w:szCs w:val="20"/>
                              </w:rPr>
                            </w:pPr>
                            <w:r w:rsidRPr="009A4F86">
                              <w:rPr>
                                <w:rFonts w:ascii="Arial" w:hAnsi="Arial" w:cs="Arial"/>
                                <w:sz w:val="20"/>
                                <w:szCs w:val="20"/>
                              </w:rPr>
                              <w:t>GP may initiate or continue prescribing if initiated in secondary care</w:t>
                            </w:r>
                          </w:p>
                          <w:p w:rsidR="009A4F86" w:rsidRPr="009A4F86" w:rsidRDefault="00AB57AE" w:rsidP="009A4F86">
                            <w:pPr>
                              <w:rPr>
                                <w:rFonts w:ascii="Arial" w:hAnsi="Arial" w:cs="Arial"/>
                                <w:sz w:val="20"/>
                                <w:szCs w:val="20"/>
                              </w:rPr>
                            </w:pPr>
                            <w:r>
                              <w:rPr>
                                <w:rFonts w:ascii="Arial" w:hAnsi="Arial" w:cs="Arial"/>
                                <w:sz w:val="20"/>
                                <w:szCs w:val="20"/>
                              </w:rPr>
                              <w:t xml:space="preserve">Recommended by NICE </w:t>
                            </w:r>
                            <w:r w:rsidRPr="00AB57AE">
                              <w:rPr>
                                <w:rFonts w:ascii="Arial" w:hAnsi="Arial" w:cs="Arial"/>
                                <w:sz w:val="20"/>
                                <w:szCs w:val="20"/>
                              </w:rPr>
                              <w:t>as an option for treating major depressive episodes in adults whose condition has responded inadequately to 2 antidepressants within the current episode.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24E112" id="_x0000_t202" coordsize="21600,21600" o:spt="202" path="m,l,21600r21600,l21600,xe">
                <v:stroke joinstyle="miter"/>
                <v:path gradientshapeok="t" o:connecttype="rect"/>
              </v:shapetype>
              <v:shape id="Text Box 2" o:spid="_x0000_s1026" type="#_x0000_t202" style="position:absolute;left:0;text-align:left;margin-left:0;margin-top:0;width:446.2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" fillcolor="#dbe5f1 [660]">
                <v:textbox style="mso-fit-shape-to-text:t">
                  <w:txbxContent>
                    <w:p w:rsidR="009A4F86" w:rsidRPr="009A4F86" w:rsidRDefault="009A4F86" w:rsidP="009A4F86">
                      <w:pPr>
                        <w:rPr>
                          <w:rFonts w:ascii="Arial" w:hAnsi="Arial" w:cs="Arial"/>
                          <w:b/>
                        </w:rPr>
                      </w:pPr>
                      <w:r w:rsidRPr="009A4F86">
                        <w:rPr>
                          <w:rFonts w:ascii="Arial" w:hAnsi="Arial" w:cs="Arial"/>
                          <w:b/>
                        </w:rPr>
                        <w:t>Formulary Status</w:t>
                      </w:r>
                    </w:p>
                    <w:p w:rsidR="009A4F86" w:rsidRPr="009A4F86" w:rsidRDefault="009A4F86" w:rsidP="009A4F86">
                      <w:pPr>
                        <w:rPr>
                          <w:rFonts w:ascii="Arial" w:hAnsi="Arial" w:cs="Arial"/>
                          <w:sz w:val="20"/>
                          <w:szCs w:val="20"/>
                        </w:rPr>
                      </w:pPr>
                      <w:r w:rsidRPr="009A4F86">
                        <w:rPr>
                          <w:rFonts w:ascii="Arial" w:hAnsi="Arial" w:cs="Arial"/>
                          <w:sz w:val="20"/>
                          <w:szCs w:val="20"/>
                        </w:rPr>
                        <w:t>For the treatment of major depressive episodes in patients for whom other anti-depressants have not been efficacious or when potential or actual side effects of other anti-depressants prohibit use</w:t>
                      </w:r>
                    </w:p>
                    <w:p w:rsidR="009A4F86" w:rsidRPr="009A4F86" w:rsidRDefault="009A4F86" w:rsidP="009A4F86">
                      <w:pPr>
                        <w:rPr>
                          <w:rFonts w:ascii="Arial" w:hAnsi="Arial" w:cs="Arial"/>
                          <w:sz w:val="20"/>
                          <w:szCs w:val="20"/>
                        </w:rPr>
                      </w:pPr>
                      <w:r w:rsidRPr="009A4F86">
                        <w:rPr>
                          <w:rFonts w:ascii="Arial" w:hAnsi="Arial" w:cs="Arial"/>
                          <w:sz w:val="20"/>
                          <w:szCs w:val="20"/>
                        </w:rPr>
                        <w:t>GP may initiate or continue prescribing if initiated in secondary care</w:t>
                      </w:r>
                    </w:p>
                    <w:p w:rsidR="009A4F86" w:rsidRPr="009A4F86" w:rsidRDefault="00AB57AE" w:rsidP="009A4F86">
                      <w:pPr>
                        <w:rPr>
                          <w:rFonts w:ascii="Arial" w:hAnsi="Arial" w:cs="Arial"/>
                          <w:sz w:val="20"/>
                          <w:szCs w:val="20"/>
                        </w:rPr>
                      </w:pPr>
                      <w:r>
                        <w:rPr>
                          <w:rFonts w:ascii="Arial" w:hAnsi="Arial" w:cs="Arial"/>
                          <w:sz w:val="20"/>
                          <w:szCs w:val="20"/>
                        </w:rPr>
                        <w:t xml:space="preserve">Recommended by NICE </w:t>
                      </w:r>
                      <w:r w:rsidRPr="00AB57AE">
                        <w:rPr>
                          <w:rFonts w:ascii="Arial" w:hAnsi="Arial" w:cs="Arial"/>
                          <w:sz w:val="20"/>
                          <w:szCs w:val="20"/>
                        </w:rPr>
                        <w:t>as an option for treating major depressive episodes in adults whose condition has responded inadequately to 2 antidepressants within the current episode.</w:t>
                      </w:r>
                    </w:p>
                  </w:txbxContent>
                </v:textbox>
              </v:shape>
            </w:pict>
          </mc:Fallback>
        </mc:AlternateContent>
      </w:r>
    </w:p>
    <w:p w:rsidR="00D03BF4" w:rsidRDefault="00D03BF4"/>
    <w:p w:rsidR="009A4F86" w:rsidRDefault="009A4F86"/>
    <w:p w:rsidR="009A4F86" w:rsidRDefault="009A4F86"/>
    <w:p w:rsidR="009A4F86" w:rsidRDefault="009A4F86"/>
    <w:p w:rsidR="009A4F86" w:rsidRDefault="009A4F86"/>
    <w:p w:rsidR="00177C38" w:rsidRPr="002A5A1E" w:rsidRDefault="00177C38" w:rsidP="009A4F86">
      <w:pPr>
        <w:pStyle w:val="Heading2"/>
        <w:ind w:right="-188"/>
        <w:rPr>
          <w:sz w:val="20"/>
          <w:szCs w:val="20"/>
        </w:rPr>
      </w:pPr>
    </w:p>
    <w:p w:rsidR="009A4F86" w:rsidRDefault="009A4F86" w:rsidP="009A4F86">
      <w:pPr>
        <w:pStyle w:val="Heading2"/>
        <w:ind w:right="-188"/>
        <w:rPr>
          <w:color w:val="0000FF"/>
          <w:u w:val="thick" w:color="0000FF"/>
        </w:rPr>
      </w:pPr>
      <w:r>
        <w:t xml:space="preserve">Full prescribing guidance – Summary of Product Characteristics </w:t>
      </w:r>
      <w:hyperlink r:id="rId7">
        <w:r>
          <w:rPr>
            <w:color w:val="0000FF"/>
            <w:u w:val="thick" w:color="0000FF"/>
          </w:rPr>
          <w:t>www.emc.medicines.org.uk</w:t>
        </w:r>
      </w:hyperlink>
    </w:p>
    <w:p w:rsidR="009A4F86" w:rsidRDefault="00177C38">
      <w:pPr>
        <w:rPr>
          <w:rFonts w:ascii="Arial" w:hAnsi="Arial" w:cs="Arial"/>
          <w:b/>
        </w:rPr>
      </w:pPr>
      <w:r w:rsidRPr="009A4F86">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0624E114" wp14:editId="0624E115">
                <wp:simplePos x="0" y="0"/>
                <wp:positionH relativeFrom="column">
                  <wp:posOffset>103367</wp:posOffset>
                </wp:positionH>
                <wp:positionV relativeFrom="paragraph">
                  <wp:posOffset>155740</wp:posOffset>
                </wp:positionV>
                <wp:extent cx="5802934" cy="4945711"/>
                <wp:effectExtent l="0" t="0" r="2667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934" cy="4945711"/>
                        </a:xfrm>
                        <a:prstGeom prst="rect">
                          <a:avLst/>
                        </a:prstGeom>
                        <a:solidFill>
                          <a:schemeClr val="bg1">
                            <a:lumMod val="95000"/>
                          </a:schemeClr>
                        </a:solidFill>
                        <a:ln w="9525">
                          <a:solidFill>
                            <a:srgbClr val="000000"/>
                          </a:solidFill>
                          <a:miter lim="800000"/>
                          <a:headEnd/>
                          <a:tailEnd/>
                        </a:ln>
                      </wps:spPr>
                      <wps:txbx>
                        <w:txbxContent>
                          <w:p w:rsidR="00177C38" w:rsidRPr="009A4F86" w:rsidRDefault="00177C38" w:rsidP="00177C38">
                            <w:pPr>
                              <w:spacing w:before="14"/>
                              <w:ind w:left="108"/>
                              <w:rPr>
                                <w:rFonts w:ascii="Arial" w:hAnsi="Arial" w:cs="Arial"/>
                                <w:b/>
                              </w:rPr>
                            </w:pPr>
                            <w:r w:rsidRPr="009A4F86">
                              <w:rPr>
                                <w:rFonts w:ascii="Arial" w:hAnsi="Arial" w:cs="Arial"/>
                                <w:b/>
                              </w:rPr>
                              <w:t>Indication and Dosage</w:t>
                            </w:r>
                          </w:p>
                          <w:p w:rsidR="00177C38" w:rsidRPr="009A4F86" w:rsidRDefault="00177C38" w:rsidP="00177C38">
                            <w:pPr>
                              <w:pStyle w:val="BodyText"/>
                              <w:spacing w:before="1" w:line="242" w:lineRule="auto"/>
                              <w:ind w:left="108" w:right="181"/>
                            </w:pPr>
                            <w:r w:rsidRPr="009A4F86">
                              <w:rPr>
                                <w:b/>
                              </w:rPr>
                              <w:t>Indication:</w:t>
                            </w:r>
                            <w:r w:rsidRPr="009A4F86">
                              <w:t xml:space="preserve"> </w:t>
                            </w:r>
                            <w:r w:rsidR="00AB57AE">
                              <w:t>Vortioxetine</w:t>
                            </w:r>
                            <w:r w:rsidRPr="009A4F86">
                              <w:t xml:space="preserve"> is licensed for the treatment of major depressive episodes in adults</w:t>
                            </w:r>
                          </w:p>
                          <w:p w:rsidR="00177C38" w:rsidRPr="009A4F86" w:rsidRDefault="00177C38" w:rsidP="00177C38">
                            <w:pPr>
                              <w:pStyle w:val="BodyText"/>
                              <w:spacing w:before="1" w:line="242" w:lineRule="auto"/>
                              <w:ind w:left="108" w:right="181"/>
                            </w:pPr>
                          </w:p>
                          <w:p w:rsidR="00177C38" w:rsidRPr="009A4F86" w:rsidRDefault="00177C38" w:rsidP="00177C38">
                            <w:pPr>
                              <w:spacing w:before="87"/>
                              <w:ind w:left="108"/>
                              <w:rPr>
                                <w:rFonts w:ascii="Arial" w:hAnsi="Arial" w:cs="Arial"/>
                                <w:sz w:val="20"/>
                                <w:szCs w:val="20"/>
                              </w:rPr>
                            </w:pPr>
                            <w:r w:rsidRPr="009A4F86">
                              <w:rPr>
                                <w:rFonts w:ascii="Arial" w:hAnsi="Arial" w:cs="Arial"/>
                                <w:b/>
                                <w:sz w:val="20"/>
                                <w:szCs w:val="20"/>
                              </w:rPr>
                              <w:t>Presentation:</w:t>
                            </w:r>
                            <w:r w:rsidRPr="009A4F86">
                              <w:rPr>
                                <w:rFonts w:ascii="Arial" w:hAnsi="Arial" w:cs="Arial"/>
                                <w:sz w:val="20"/>
                                <w:szCs w:val="20"/>
                              </w:rPr>
                              <w:t xml:space="preserve"> </w:t>
                            </w:r>
                            <w:r w:rsidR="00F02853">
                              <w:rPr>
                                <w:rFonts w:ascii="Arial" w:hAnsi="Arial" w:cs="Arial"/>
                                <w:sz w:val="20"/>
                                <w:szCs w:val="20"/>
                              </w:rPr>
                              <w:t>F</w:t>
                            </w:r>
                            <w:r w:rsidR="00F02853" w:rsidRPr="00F02853">
                              <w:rPr>
                                <w:rFonts w:ascii="Arial" w:hAnsi="Arial" w:cs="Arial"/>
                                <w:sz w:val="20"/>
                                <w:szCs w:val="20"/>
                              </w:rPr>
                              <w:t>ilm-coated tablets</w:t>
                            </w:r>
                            <w:r w:rsidR="00F02853">
                              <w:rPr>
                                <w:rFonts w:ascii="Arial" w:hAnsi="Arial" w:cs="Arial"/>
                                <w:sz w:val="20"/>
                                <w:szCs w:val="20"/>
                              </w:rPr>
                              <w:t xml:space="preserve">: </w:t>
                            </w:r>
                            <w:r w:rsidRPr="009A4F86">
                              <w:rPr>
                                <w:rFonts w:ascii="Arial" w:hAnsi="Arial" w:cs="Arial"/>
                                <w:sz w:val="20"/>
                                <w:szCs w:val="20"/>
                              </w:rPr>
                              <w:t>5</w:t>
                            </w:r>
                            <w:r w:rsidR="0062751C">
                              <w:rPr>
                                <w:rFonts w:ascii="Arial" w:hAnsi="Arial" w:cs="Arial"/>
                                <w:sz w:val="20"/>
                                <w:szCs w:val="20"/>
                              </w:rPr>
                              <w:t>, 10, 15 and 20</w:t>
                            </w:r>
                            <w:r w:rsidRPr="009A4F86">
                              <w:rPr>
                                <w:rFonts w:ascii="Arial" w:hAnsi="Arial" w:cs="Arial"/>
                                <w:sz w:val="20"/>
                                <w:szCs w:val="20"/>
                              </w:rPr>
                              <w:t xml:space="preserve">mg </w:t>
                            </w:r>
                          </w:p>
                          <w:p w:rsidR="002A5A1E" w:rsidRDefault="00177C38" w:rsidP="002A5A1E">
                            <w:pPr>
                              <w:pStyle w:val="BodyText"/>
                              <w:spacing w:line="242" w:lineRule="auto"/>
                              <w:ind w:left="108" w:right="439"/>
                              <w:jc w:val="both"/>
                            </w:pPr>
                            <w:r w:rsidRPr="009A4F86">
                              <w:rPr>
                                <w:b/>
                              </w:rPr>
                              <w:t xml:space="preserve">Dosage and Administration: </w:t>
                            </w:r>
                            <w:r w:rsidRPr="009A4F86">
                              <w:t xml:space="preserve">The recommended </w:t>
                            </w:r>
                            <w:r w:rsidR="002A5A1E">
                              <w:t xml:space="preserve">starting </w:t>
                            </w:r>
                            <w:r w:rsidRPr="009A4F86">
                              <w:t xml:space="preserve">dose is </w:t>
                            </w:r>
                            <w:r w:rsidR="002A5A1E">
                              <w:t>10 mg vortioxetine once daily in adults less than 65 years of age.</w:t>
                            </w:r>
                          </w:p>
                          <w:p w:rsidR="002A5A1E" w:rsidRDefault="002A5A1E" w:rsidP="002A5A1E">
                            <w:pPr>
                              <w:pStyle w:val="BodyText"/>
                              <w:spacing w:line="242" w:lineRule="auto"/>
                              <w:ind w:left="108" w:right="439"/>
                              <w:jc w:val="both"/>
                            </w:pPr>
                          </w:p>
                          <w:p w:rsidR="00177C38" w:rsidRDefault="002A5A1E" w:rsidP="002A5A1E">
                            <w:pPr>
                              <w:pStyle w:val="BodyText"/>
                              <w:spacing w:line="242" w:lineRule="auto"/>
                              <w:ind w:left="108" w:right="439"/>
                              <w:jc w:val="both"/>
                            </w:pPr>
                            <w:r>
                              <w:t>Depending on individual patient response, the dose may be increased to a maximum of 20 mg vortioxetine once daily or decreased to a minimum of 5 mg vortioxetine once daily.</w:t>
                            </w:r>
                          </w:p>
                          <w:p w:rsidR="002A5A1E" w:rsidRPr="009A4F86" w:rsidRDefault="002A5A1E" w:rsidP="002A5A1E">
                            <w:pPr>
                              <w:pStyle w:val="BodyText"/>
                              <w:spacing w:line="242" w:lineRule="auto"/>
                              <w:ind w:left="108" w:right="439"/>
                              <w:jc w:val="both"/>
                            </w:pPr>
                          </w:p>
                          <w:p w:rsidR="00177C38" w:rsidRPr="009A4F86" w:rsidRDefault="00177C38" w:rsidP="00177C38">
                            <w:pPr>
                              <w:pStyle w:val="BodyText"/>
                              <w:spacing w:before="1" w:line="242" w:lineRule="auto"/>
                              <w:ind w:left="108"/>
                            </w:pPr>
                            <w:r w:rsidRPr="009A4F86">
                              <w:rPr>
                                <w:i/>
                              </w:rPr>
                              <w:t xml:space="preserve">Renal impairment: </w:t>
                            </w:r>
                            <w:r w:rsidRPr="009A4F86">
                              <w:t xml:space="preserve">No dose adjustment is required, however caution should be exercised when prescribing </w:t>
                            </w:r>
                            <w:r w:rsidR="002A5A1E">
                              <w:t>vortioxetine</w:t>
                            </w:r>
                            <w:r w:rsidRPr="009A4F86">
                              <w:t xml:space="preserve"> to patients with severe renal impairment.</w:t>
                            </w:r>
                          </w:p>
                          <w:p w:rsidR="00177C38" w:rsidRPr="009A4F86" w:rsidRDefault="00177C38" w:rsidP="00177C38">
                            <w:pPr>
                              <w:pStyle w:val="BodyText"/>
                              <w:spacing w:before="1" w:line="242" w:lineRule="auto"/>
                              <w:ind w:left="108"/>
                              <w:rPr>
                                <w:b/>
                              </w:rPr>
                            </w:pPr>
                          </w:p>
                          <w:p w:rsidR="00177C38" w:rsidRDefault="00177C38" w:rsidP="00177C38">
                            <w:pPr>
                              <w:pStyle w:val="BodyText"/>
                              <w:spacing w:line="242" w:lineRule="auto"/>
                              <w:ind w:left="108" w:right="295"/>
                            </w:pPr>
                            <w:r w:rsidRPr="009A4F86">
                              <w:rPr>
                                <w:i/>
                              </w:rPr>
                              <w:t xml:space="preserve">Hepatic impairment:  </w:t>
                            </w:r>
                            <w:r w:rsidR="002A5A1E" w:rsidRPr="009A4F86">
                              <w:t xml:space="preserve">No dose adjustment is required, however caution should be exercised when prescribing </w:t>
                            </w:r>
                            <w:r w:rsidR="002A5A1E">
                              <w:t>vortioxetine</w:t>
                            </w:r>
                            <w:r w:rsidR="002A5A1E" w:rsidRPr="009A4F86">
                              <w:t xml:space="preserve"> to patients with severe renal impairment.</w:t>
                            </w:r>
                          </w:p>
                          <w:p w:rsidR="002A5A1E" w:rsidRPr="009A4F86" w:rsidRDefault="002A5A1E" w:rsidP="00177C38">
                            <w:pPr>
                              <w:pStyle w:val="BodyText"/>
                              <w:spacing w:line="242" w:lineRule="auto"/>
                              <w:ind w:left="108" w:right="295"/>
                            </w:pPr>
                          </w:p>
                          <w:p w:rsidR="00177C38" w:rsidRPr="009A4F86" w:rsidRDefault="00177C38" w:rsidP="00177C38">
                            <w:pPr>
                              <w:pStyle w:val="BodyText"/>
                              <w:spacing w:line="242" w:lineRule="auto"/>
                              <w:ind w:left="108" w:right="295"/>
                            </w:pPr>
                            <w:r w:rsidRPr="009A4F86">
                              <w:rPr>
                                <w:i/>
                              </w:rPr>
                              <w:t>Elderly:</w:t>
                            </w:r>
                            <w:r w:rsidRPr="009A4F86">
                              <w:t xml:space="preserve"> </w:t>
                            </w:r>
                            <w:r w:rsidR="002A5A1E" w:rsidRPr="002A5A1E">
                              <w:t>The lowest effective dose of 5 mg vortioxetine once daily should always be used as the starting dose in patients ≥ 65 years of age. Caution is advised when treating patients ≥ 65 years of age with doses higher than 10 mg vortioxetine once daily for which data are limited</w:t>
                            </w:r>
                          </w:p>
                          <w:p w:rsidR="00177C38" w:rsidRPr="009A4F86" w:rsidRDefault="00177C38" w:rsidP="00177C38">
                            <w:pPr>
                              <w:pStyle w:val="BodyText"/>
                              <w:spacing w:line="242" w:lineRule="auto"/>
                              <w:ind w:left="108" w:right="295"/>
                            </w:pPr>
                          </w:p>
                          <w:p w:rsidR="00177C38" w:rsidRPr="009A4F86" w:rsidRDefault="00177C38" w:rsidP="00177C38">
                            <w:pPr>
                              <w:pStyle w:val="BodyText"/>
                              <w:spacing w:line="242" w:lineRule="auto"/>
                              <w:ind w:left="108" w:right="295"/>
                              <w:rPr>
                                <w:b/>
                              </w:rPr>
                            </w:pPr>
                            <w:r w:rsidRPr="009A4F86">
                              <w:rPr>
                                <w:b/>
                              </w:rPr>
                              <w:t>CYP</w:t>
                            </w:r>
                            <w:r w:rsidR="002A5A1E">
                              <w:rPr>
                                <w:b/>
                              </w:rPr>
                              <w:t>2D6</w:t>
                            </w:r>
                            <w:r w:rsidRPr="009A4F86">
                              <w:rPr>
                                <w:b/>
                              </w:rPr>
                              <w:t xml:space="preserve"> inhibitors</w:t>
                            </w:r>
                          </w:p>
                          <w:p w:rsidR="00177C38" w:rsidRPr="009A4F86" w:rsidRDefault="00F77454" w:rsidP="00177C38">
                            <w:pPr>
                              <w:pStyle w:val="BodyText"/>
                              <w:spacing w:line="242" w:lineRule="auto"/>
                              <w:ind w:left="108" w:right="295"/>
                            </w:pPr>
                            <w:r>
                              <w:t>Vortioxetine</w:t>
                            </w:r>
                            <w:r w:rsidR="00177C38" w:rsidRPr="009A4F86">
                              <w:t xml:space="preserve"> is metabolised </w:t>
                            </w:r>
                            <w:r w:rsidR="002A5A1E">
                              <w:t>primarily</w:t>
                            </w:r>
                            <w:r w:rsidR="00177C38" w:rsidRPr="009A4F86">
                              <w:t xml:space="preserve"> by CYP</w:t>
                            </w:r>
                            <w:r w:rsidR="002A5A1E">
                              <w:t>2D6</w:t>
                            </w:r>
                            <w:r w:rsidR="00177C38" w:rsidRPr="009A4F86">
                              <w:t xml:space="preserve">.  </w:t>
                            </w:r>
                          </w:p>
                          <w:p w:rsidR="00177C38" w:rsidRDefault="002A5A1E" w:rsidP="002A5A1E">
                            <w:pPr>
                              <w:ind w:left="108"/>
                              <w:rPr>
                                <w:rFonts w:ascii="Arial" w:eastAsia="Arial" w:hAnsi="Arial" w:cs="Arial"/>
                                <w:sz w:val="20"/>
                                <w:szCs w:val="20"/>
                                <w:lang w:eastAsia="en-GB" w:bidi="en-GB"/>
                              </w:rPr>
                            </w:pPr>
                            <w:r w:rsidRPr="002A5A1E">
                              <w:rPr>
                                <w:rFonts w:ascii="Arial" w:eastAsia="Arial" w:hAnsi="Arial" w:cs="Arial"/>
                                <w:sz w:val="20"/>
                                <w:szCs w:val="20"/>
                                <w:lang w:eastAsia="en-GB" w:bidi="en-GB"/>
                              </w:rPr>
                              <w:t>Depending on individual patient response, a lower dose of vortioxetine may be considered if strong CYP2D6 inhibitor (e.g., bupropion, quinidine, fluoxetine, paroxetine) is added to vortioxetine treatment</w:t>
                            </w:r>
                          </w:p>
                          <w:p w:rsidR="00F77454" w:rsidRDefault="00F77454" w:rsidP="00F77454">
                            <w:pPr>
                              <w:pStyle w:val="BodyText"/>
                              <w:spacing w:line="242" w:lineRule="auto"/>
                              <w:ind w:left="108" w:right="295"/>
                            </w:pPr>
                            <w:r w:rsidRPr="009A4F86">
                              <w:rPr>
                                <w:b/>
                              </w:rPr>
                              <w:t>CYP</w:t>
                            </w:r>
                            <w:r>
                              <w:rPr>
                                <w:b/>
                              </w:rPr>
                              <w:t>2D6</w:t>
                            </w:r>
                            <w:r w:rsidRPr="009A4F86">
                              <w:rPr>
                                <w:b/>
                              </w:rPr>
                              <w:t xml:space="preserve"> </w:t>
                            </w:r>
                            <w:r>
                              <w:rPr>
                                <w:b/>
                              </w:rPr>
                              <w:t>inducers</w:t>
                            </w:r>
                          </w:p>
                          <w:p w:rsidR="00F77454" w:rsidRPr="009A4F86" w:rsidRDefault="00F77454" w:rsidP="002A5A1E">
                            <w:pPr>
                              <w:ind w:left="108"/>
                              <w:rPr>
                                <w:rFonts w:ascii="Arial" w:hAnsi="Arial" w:cs="Arial"/>
                                <w:sz w:val="20"/>
                                <w:szCs w:val="20"/>
                              </w:rPr>
                            </w:pPr>
                            <w:r w:rsidRPr="00F77454">
                              <w:rPr>
                                <w:rFonts w:ascii="Arial" w:hAnsi="Arial" w:cs="Arial"/>
                                <w:sz w:val="20"/>
                                <w:szCs w:val="20"/>
                              </w:rPr>
                              <w:t>Depending on individual patient response, a dose adjustment of vortioxetine may be considered if a broad cytochrome P450 inducer (e.g., rifampicin, carbamazepine, phenytoin) is added to vortioxetine 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15pt;margin-top:12.25pt;width:456.9pt;height:38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" fillcolor="#f2f2f2 [3052]">
                <v:textbox>
                  <w:txbxContent>
                    <w:p w:rsidR="00177C38" w:rsidRPr="009A4F86" w:rsidRDefault="00177C38" w:rsidP="00177C38">
                      <w:pPr>
                        <w:spacing w:before="14"/>
                        <w:ind w:left="108"/>
                        <w:rPr>
                          <w:rFonts w:ascii="Arial" w:hAnsi="Arial" w:cs="Arial"/>
                          <w:b/>
                        </w:rPr>
                      </w:pPr>
                      <w:r w:rsidRPr="009A4F86">
                        <w:rPr>
                          <w:rFonts w:ascii="Arial" w:hAnsi="Arial" w:cs="Arial"/>
                          <w:b/>
                        </w:rPr>
                        <w:t>Indication and Dosage</w:t>
                      </w:r>
                    </w:p>
                    <w:p w:rsidR="00177C38" w:rsidRPr="009A4F86" w:rsidRDefault="00177C38" w:rsidP="00177C38">
                      <w:pPr>
                        <w:pStyle w:val="BodyText"/>
                        <w:spacing w:before="1" w:line="242" w:lineRule="auto"/>
                        <w:ind w:left="108" w:right="181"/>
                      </w:pPr>
                      <w:r w:rsidRPr="009A4F86">
                        <w:rPr>
                          <w:b/>
                        </w:rPr>
                        <w:t>Indication:</w:t>
                      </w:r>
                      <w:r w:rsidRPr="009A4F86">
                        <w:t xml:space="preserve"> </w:t>
                      </w:r>
                      <w:r w:rsidR="00AB57AE">
                        <w:t>Vortioxetine</w:t>
                      </w:r>
                      <w:r w:rsidRPr="009A4F86">
                        <w:t xml:space="preserve"> is licensed for the treatment of major depressive episodes in adults</w:t>
                      </w:r>
                    </w:p>
                    <w:p w:rsidR="00177C38" w:rsidRPr="009A4F86" w:rsidRDefault="00177C38" w:rsidP="00177C38">
                      <w:pPr>
                        <w:pStyle w:val="BodyText"/>
                        <w:spacing w:before="1" w:line="242" w:lineRule="auto"/>
                        <w:ind w:left="108" w:right="181"/>
                      </w:pPr>
                    </w:p>
                    <w:p w:rsidR="00177C38" w:rsidRPr="009A4F86" w:rsidRDefault="00177C38" w:rsidP="00177C38">
                      <w:pPr>
                        <w:spacing w:before="87"/>
                        <w:ind w:left="108"/>
                        <w:rPr>
                          <w:rFonts w:ascii="Arial" w:hAnsi="Arial" w:cs="Arial"/>
                          <w:sz w:val="20"/>
                          <w:szCs w:val="20"/>
                        </w:rPr>
                      </w:pPr>
                      <w:r w:rsidRPr="009A4F86">
                        <w:rPr>
                          <w:rFonts w:ascii="Arial" w:hAnsi="Arial" w:cs="Arial"/>
                          <w:b/>
                          <w:sz w:val="20"/>
                          <w:szCs w:val="20"/>
                        </w:rPr>
                        <w:t>Presentation:</w:t>
                      </w:r>
                      <w:r w:rsidRPr="009A4F86">
                        <w:rPr>
                          <w:rFonts w:ascii="Arial" w:hAnsi="Arial" w:cs="Arial"/>
                          <w:sz w:val="20"/>
                          <w:szCs w:val="20"/>
                        </w:rPr>
                        <w:t xml:space="preserve"> </w:t>
                      </w:r>
                      <w:r w:rsidR="00F02853">
                        <w:rPr>
                          <w:rFonts w:ascii="Arial" w:hAnsi="Arial" w:cs="Arial"/>
                          <w:sz w:val="20"/>
                          <w:szCs w:val="20"/>
                        </w:rPr>
                        <w:t>F</w:t>
                      </w:r>
                      <w:r w:rsidR="00F02853" w:rsidRPr="00F02853">
                        <w:rPr>
                          <w:rFonts w:ascii="Arial" w:hAnsi="Arial" w:cs="Arial"/>
                          <w:sz w:val="20"/>
                          <w:szCs w:val="20"/>
                        </w:rPr>
                        <w:t>ilm-coated tablets</w:t>
                      </w:r>
                      <w:r w:rsidR="00F02853">
                        <w:rPr>
                          <w:rFonts w:ascii="Arial" w:hAnsi="Arial" w:cs="Arial"/>
                          <w:sz w:val="20"/>
                          <w:szCs w:val="20"/>
                        </w:rPr>
                        <w:t xml:space="preserve">: </w:t>
                      </w:r>
                      <w:r w:rsidRPr="009A4F86">
                        <w:rPr>
                          <w:rFonts w:ascii="Arial" w:hAnsi="Arial" w:cs="Arial"/>
                          <w:sz w:val="20"/>
                          <w:szCs w:val="20"/>
                        </w:rPr>
                        <w:t>5</w:t>
                      </w:r>
                      <w:r w:rsidR="0062751C">
                        <w:rPr>
                          <w:rFonts w:ascii="Arial" w:hAnsi="Arial" w:cs="Arial"/>
                          <w:sz w:val="20"/>
                          <w:szCs w:val="20"/>
                        </w:rPr>
                        <w:t>, 10, 15 and 20</w:t>
                      </w:r>
                      <w:r w:rsidRPr="009A4F86">
                        <w:rPr>
                          <w:rFonts w:ascii="Arial" w:hAnsi="Arial" w:cs="Arial"/>
                          <w:sz w:val="20"/>
                          <w:szCs w:val="20"/>
                        </w:rPr>
                        <w:t xml:space="preserve">mg </w:t>
                      </w:r>
                    </w:p>
                    <w:p w:rsidR="002A5A1E" w:rsidRDefault="00177C38" w:rsidP="002A5A1E">
                      <w:pPr>
                        <w:pStyle w:val="BodyText"/>
                        <w:spacing w:line="242" w:lineRule="auto"/>
                        <w:ind w:left="108" w:right="439"/>
                        <w:jc w:val="both"/>
                      </w:pPr>
                      <w:r w:rsidRPr="009A4F86">
                        <w:rPr>
                          <w:b/>
                        </w:rPr>
                        <w:t xml:space="preserve">Dosage and Administration: </w:t>
                      </w:r>
                      <w:r w:rsidRPr="009A4F86">
                        <w:t xml:space="preserve">The recommended </w:t>
                      </w:r>
                      <w:r w:rsidR="002A5A1E">
                        <w:t xml:space="preserve">starting </w:t>
                      </w:r>
                      <w:r w:rsidRPr="009A4F86">
                        <w:t xml:space="preserve">dose is </w:t>
                      </w:r>
                      <w:r w:rsidR="002A5A1E">
                        <w:t>10 mg vortioxetine once daily in adults less than 65 years of age.</w:t>
                      </w:r>
                    </w:p>
                    <w:p w:rsidR="002A5A1E" w:rsidRDefault="002A5A1E" w:rsidP="002A5A1E">
                      <w:pPr>
                        <w:pStyle w:val="BodyText"/>
                        <w:spacing w:line="242" w:lineRule="auto"/>
                        <w:ind w:left="108" w:right="439"/>
                        <w:jc w:val="both"/>
                      </w:pPr>
                    </w:p>
                    <w:p w:rsidR="00177C38" w:rsidRDefault="002A5A1E" w:rsidP="002A5A1E">
                      <w:pPr>
                        <w:pStyle w:val="BodyText"/>
                        <w:spacing w:line="242" w:lineRule="auto"/>
                        <w:ind w:left="108" w:right="439"/>
                        <w:jc w:val="both"/>
                      </w:pPr>
                      <w:r>
                        <w:t>Depending on individual patient response, the dose may be increased to a maximum of 20 mg vortioxetine once daily or decreased to a minimum of 5 mg vortioxetine once daily.</w:t>
                      </w:r>
                    </w:p>
                    <w:p w:rsidR="002A5A1E" w:rsidRPr="009A4F86" w:rsidRDefault="002A5A1E" w:rsidP="002A5A1E">
                      <w:pPr>
                        <w:pStyle w:val="BodyText"/>
                        <w:spacing w:line="242" w:lineRule="auto"/>
                        <w:ind w:left="108" w:right="439"/>
                        <w:jc w:val="both"/>
                      </w:pPr>
                    </w:p>
                    <w:p w:rsidR="00177C38" w:rsidRPr="009A4F86" w:rsidRDefault="00177C38" w:rsidP="00177C38">
                      <w:pPr>
                        <w:pStyle w:val="BodyText"/>
                        <w:spacing w:before="1" w:line="242" w:lineRule="auto"/>
                        <w:ind w:left="108"/>
                      </w:pPr>
                      <w:r w:rsidRPr="009A4F86">
                        <w:rPr>
                          <w:i/>
                        </w:rPr>
                        <w:t xml:space="preserve">Renal impairment: </w:t>
                      </w:r>
                      <w:r w:rsidRPr="009A4F86">
                        <w:t xml:space="preserve">No dose adjustment is required, however caution should be exercised when prescribing </w:t>
                      </w:r>
                      <w:r w:rsidR="002A5A1E">
                        <w:t>vortioxetine</w:t>
                      </w:r>
                      <w:r w:rsidRPr="009A4F86">
                        <w:t xml:space="preserve"> to patients with severe renal impairment.</w:t>
                      </w:r>
                    </w:p>
                    <w:p w:rsidR="00177C38" w:rsidRPr="009A4F86" w:rsidRDefault="00177C38" w:rsidP="00177C38">
                      <w:pPr>
                        <w:pStyle w:val="BodyText"/>
                        <w:spacing w:before="1" w:line="242" w:lineRule="auto"/>
                        <w:ind w:left="108"/>
                        <w:rPr>
                          <w:b/>
                        </w:rPr>
                      </w:pPr>
                    </w:p>
                    <w:p w:rsidR="00177C38" w:rsidRDefault="00177C38" w:rsidP="00177C38">
                      <w:pPr>
                        <w:pStyle w:val="BodyText"/>
                        <w:spacing w:line="242" w:lineRule="auto"/>
                        <w:ind w:left="108" w:right="295"/>
                      </w:pPr>
                      <w:r w:rsidRPr="009A4F86">
                        <w:rPr>
                          <w:i/>
                        </w:rPr>
                        <w:t xml:space="preserve">Hepatic impairment:  </w:t>
                      </w:r>
                      <w:r w:rsidR="002A5A1E" w:rsidRPr="009A4F86">
                        <w:t xml:space="preserve">No dose adjustment is required, however caution should be exercised when prescribing </w:t>
                      </w:r>
                      <w:r w:rsidR="002A5A1E">
                        <w:t>vortioxetine</w:t>
                      </w:r>
                      <w:r w:rsidR="002A5A1E" w:rsidRPr="009A4F86">
                        <w:t xml:space="preserve"> to patients with severe renal impairment.</w:t>
                      </w:r>
                    </w:p>
                    <w:p w:rsidR="002A5A1E" w:rsidRPr="009A4F86" w:rsidRDefault="002A5A1E" w:rsidP="00177C38">
                      <w:pPr>
                        <w:pStyle w:val="BodyText"/>
                        <w:spacing w:line="242" w:lineRule="auto"/>
                        <w:ind w:left="108" w:right="295"/>
                      </w:pPr>
                    </w:p>
                    <w:p w:rsidR="00177C38" w:rsidRPr="009A4F86" w:rsidRDefault="00177C38" w:rsidP="00177C38">
                      <w:pPr>
                        <w:pStyle w:val="BodyText"/>
                        <w:spacing w:line="242" w:lineRule="auto"/>
                        <w:ind w:left="108" w:right="295"/>
                      </w:pPr>
                      <w:r w:rsidRPr="009A4F86">
                        <w:rPr>
                          <w:i/>
                        </w:rPr>
                        <w:t>Elderly:</w:t>
                      </w:r>
                      <w:r w:rsidRPr="009A4F86">
                        <w:t xml:space="preserve"> </w:t>
                      </w:r>
                      <w:r w:rsidR="002A5A1E" w:rsidRPr="002A5A1E">
                        <w:t>The lowest effective dose of 5 mg vortioxetine once daily should always be used as the starting dose in patients ≥ 65 years of age. Caution is advised when treating patients ≥ 65 years of age with doses higher than 10 mg vortioxetine once daily for which data are limited</w:t>
                      </w:r>
                    </w:p>
                    <w:p w:rsidR="00177C38" w:rsidRPr="009A4F86" w:rsidRDefault="00177C38" w:rsidP="00177C38">
                      <w:pPr>
                        <w:pStyle w:val="BodyText"/>
                        <w:spacing w:line="242" w:lineRule="auto"/>
                        <w:ind w:left="108" w:right="295"/>
                      </w:pPr>
                    </w:p>
                    <w:p w:rsidR="00177C38" w:rsidRPr="009A4F86" w:rsidRDefault="00177C38" w:rsidP="00177C38">
                      <w:pPr>
                        <w:pStyle w:val="BodyText"/>
                        <w:spacing w:line="242" w:lineRule="auto"/>
                        <w:ind w:left="108" w:right="295"/>
                        <w:rPr>
                          <w:b/>
                        </w:rPr>
                      </w:pPr>
                      <w:r w:rsidRPr="009A4F86">
                        <w:rPr>
                          <w:b/>
                        </w:rPr>
                        <w:t>CYP</w:t>
                      </w:r>
                      <w:r w:rsidR="002A5A1E">
                        <w:rPr>
                          <w:b/>
                        </w:rPr>
                        <w:t>2D6</w:t>
                      </w:r>
                      <w:r w:rsidRPr="009A4F86">
                        <w:rPr>
                          <w:b/>
                        </w:rPr>
                        <w:t xml:space="preserve"> inhibitors</w:t>
                      </w:r>
                    </w:p>
                    <w:p w:rsidR="00177C38" w:rsidRPr="009A4F86" w:rsidRDefault="00F77454" w:rsidP="00177C38">
                      <w:pPr>
                        <w:pStyle w:val="BodyText"/>
                        <w:spacing w:line="242" w:lineRule="auto"/>
                        <w:ind w:left="108" w:right="295"/>
                      </w:pPr>
                      <w:r>
                        <w:t>Vortioxetine</w:t>
                      </w:r>
                      <w:r w:rsidR="00177C38" w:rsidRPr="009A4F86">
                        <w:t xml:space="preserve"> is metabolised </w:t>
                      </w:r>
                      <w:r w:rsidR="002A5A1E">
                        <w:t>primarily</w:t>
                      </w:r>
                      <w:r w:rsidR="00177C38" w:rsidRPr="009A4F86">
                        <w:t xml:space="preserve"> by CYP</w:t>
                      </w:r>
                      <w:r w:rsidR="002A5A1E">
                        <w:t>2D6</w:t>
                      </w:r>
                      <w:r w:rsidR="00177C38" w:rsidRPr="009A4F86">
                        <w:t xml:space="preserve">.  </w:t>
                      </w:r>
                    </w:p>
                    <w:p w:rsidR="00177C38" w:rsidRDefault="002A5A1E" w:rsidP="002A5A1E">
                      <w:pPr>
                        <w:ind w:left="108"/>
                        <w:rPr>
                          <w:rFonts w:ascii="Arial" w:eastAsia="Arial" w:hAnsi="Arial" w:cs="Arial"/>
                          <w:sz w:val="20"/>
                          <w:szCs w:val="20"/>
                          <w:lang w:eastAsia="en-GB" w:bidi="en-GB"/>
                        </w:rPr>
                      </w:pPr>
                      <w:r w:rsidRPr="002A5A1E">
                        <w:rPr>
                          <w:rFonts w:ascii="Arial" w:eastAsia="Arial" w:hAnsi="Arial" w:cs="Arial"/>
                          <w:sz w:val="20"/>
                          <w:szCs w:val="20"/>
                          <w:lang w:eastAsia="en-GB" w:bidi="en-GB"/>
                        </w:rPr>
                        <w:t>Depending on individual patient response, a lower dose of vortioxetine may be considered if strong CYP2D6 inhibitor (e.g., bupropion, quinidine, fluoxetine, paroxetine) is added to vortioxetine treatment</w:t>
                      </w:r>
                    </w:p>
                    <w:p w:rsidR="00F77454" w:rsidRDefault="00F77454" w:rsidP="00F77454">
                      <w:pPr>
                        <w:pStyle w:val="BodyText"/>
                        <w:spacing w:line="242" w:lineRule="auto"/>
                        <w:ind w:left="108" w:right="295"/>
                      </w:pPr>
                      <w:r w:rsidRPr="009A4F86">
                        <w:rPr>
                          <w:b/>
                        </w:rPr>
                        <w:t>CYP</w:t>
                      </w:r>
                      <w:r>
                        <w:rPr>
                          <w:b/>
                        </w:rPr>
                        <w:t>2D6</w:t>
                      </w:r>
                      <w:r w:rsidRPr="009A4F86">
                        <w:rPr>
                          <w:b/>
                        </w:rPr>
                        <w:t xml:space="preserve"> </w:t>
                      </w:r>
                      <w:r>
                        <w:rPr>
                          <w:b/>
                        </w:rPr>
                        <w:t>inducers</w:t>
                      </w:r>
                    </w:p>
                    <w:p w:rsidR="00F77454" w:rsidRPr="009A4F86" w:rsidRDefault="00F77454" w:rsidP="002A5A1E">
                      <w:pPr>
                        <w:ind w:left="108"/>
                        <w:rPr>
                          <w:rFonts w:ascii="Arial" w:hAnsi="Arial" w:cs="Arial"/>
                          <w:sz w:val="20"/>
                          <w:szCs w:val="20"/>
                        </w:rPr>
                      </w:pPr>
                      <w:r w:rsidRPr="00F77454">
                        <w:rPr>
                          <w:rFonts w:ascii="Arial" w:hAnsi="Arial" w:cs="Arial"/>
                          <w:sz w:val="20"/>
                          <w:szCs w:val="20"/>
                        </w:rPr>
                        <w:t>Depending on individual patient response, a dose adjustment of vortioxetine may be considered if a broad cytochrome P450 inducer (e.g., rifampicin, carbamazepine, phenytoin) is added to vortioxetine treatment</w:t>
                      </w:r>
                    </w:p>
                  </w:txbxContent>
                </v:textbox>
              </v:shape>
            </w:pict>
          </mc:Fallback>
        </mc:AlternateContent>
      </w: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b/>
        </w:rPr>
      </w:pPr>
    </w:p>
    <w:p w:rsidR="00177C38" w:rsidRDefault="00177C38">
      <w:pPr>
        <w:rPr>
          <w:rFonts w:ascii="Arial" w:hAnsi="Arial" w:cs="Arial"/>
          <w:sz w:val="20"/>
          <w:szCs w:val="20"/>
        </w:rPr>
      </w:pPr>
    </w:p>
    <w:p w:rsidR="00177C38" w:rsidRDefault="00177C38">
      <w:pPr>
        <w:rPr>
          <w:rFonts w:ascii="Arial" w:hAnsi="Arial" w:cs="Arial"/>
          <w:sz w:val="20"/>
          <w:szCs w:val="20"/>
        </w:rPr>
      </w:pPr>
    </w:p>
    <w:p w:rsidR="00177C38" w:rsidRDefault="00177C38">
      <w:pPr>
        <w:rPr>
          <w:rFonts w:ascii="Arial" w:hAnsi="Arial" w:cs="Arial"/>
          <w:sz w:val="20"/>
          <w:szCs w:val="20"/>
        </w:rPr>
      </w:pPr>
    </w:p>
    <w:p w:rsidR="00177C38" w:rsidRDefault="00177C38">
      <w:pPr>
        <w:rPr>
          <w:rFonts w:ascii="Arial" w:hAnsi="Arial" w:cs="Arial"/>
          <w:sz w:val="20"/>
          <w:szCs w:val="20"/>
        </w:rPr>
      </w:pPr>
    </w:p>
    <w:p w:rsidR="00177C38" w:rsidRDefault="00177C38">
      <w:pPr>
        <w:rPr>
          <w:rFonts w:ascii="Arial" w:hAnsi="Arial" w:cs="Arial"/>
          <w:sz w:val="20"/>
          <w:szCs w:val="20"/>
        </w:rPr>
      </w:pPr>
    </w:p>
    <w:p w:rsidR="006430BD" w:rsidRDefault="006430BD" w:rsidP="006430BD">
      <w:pPr>
        <w:rPr>
          <w:rFonts w:ascii="Arial" w:hAnsi="Arial" w:cs="Arial"/>
          <w:sz w:val="20"/>
          <w:szCs w:val="20"/>
        </w:rPr>
      </w:pPr>
    </w:p>
    <w:p w:rsidR="00177C38" w:rsidRDefault="00177C38">
      <w:pPr>
        <w:rPr>
          <w:rFonts w:ascii="Arial" w:hAnsi="Arial" w:cs="Arial"/>
          <w:sz w:val="20"/>
          <w:szCs w:val="20"/>
        </w:rPr>
      </w:pPr>
    </w:p>
    <w:p w:rsidR="006430BD" w:rsidRDefault="006430BD">
      <w:pPr>
        <w:rPr>
          <w:rFonts w:ascii="Arial" w:hAnsi="Arial" w:cs="Arial"/>
          <w:b/>
        </w:rPr>
      </w:pPr>
      <w:r w:rsidRPr="006430BD">
        <w:rPr>
          <w:rFonts w:ascii="Arial" w:hAnsi="Arial" w:cs="Arial"/>
          <w:noProof/>
          <w:sz w:val="20"/>
          <w:szCs w:val="20"/>
          <w:lang w:eastAsia="en-GB"/>
        </w:rPr>
        <w:lastRenderedPageBreak/>
        <mc:AlternateContent>
          <mc:Choice Requires="wps">
            <w:drawing>
              <wp:anchor distT="0" distB="0" distL="114300" distR="114300" simplePos="0" relativeHeight="251667456" behindDoc="0" locked="0" layoutInCell="1" allowOverlap="1" wp14:anchorId="0624E116" wp14:editId="0624E117">
                <wp:simplePos x="0" y="0"/>
                <wp:positionH relativeFrom="column">
                  <wp:posOffset>-135172</wp:posOffset>
                </wp:positionH>
                <wp:positionV relativeFrom="paragraph">
                  <wp:posOffset>151434</wp:posOffset>
                </wp:positionV>
                <wp:extent cx="6087441" cy="8563554"/>
                <wp:effectExtent l="0" t="0" r="2794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441" cy="8563554"/>
                        </a:xfrm>
                        <a:prstGeom prst="rect">
                          <a:avLst/>
                        </a:prstGeom>
                        <a:solidFill>
                          <a:schemeClr val="bg1">
                            <a:lumMod val="95000"/>
                          </a:schemeClr>
                        </a:solidFill>
                        <a:ln w="9525">
                          <a:solidFill>
                            <a:srgbClr val="000000"/>
                          </a:solidFill>
                          <a:miter lim="800000"/>
                          <a:headEnd/>
                          <a:tailEnd/>
                        </a:ln>
                      </wps:spPr>
                      <wps:txbx>
                        <w:txbxContent>
                          <w:p w:rsidR="006430BD" w:rsidRPr="006430BD" w:rsidRDefault="006430BD" w:rsidP="006430BD">
                            <w:pPr>
                              <w:spacing w:before="94"/>
                              <w:ind w:left="237"/>
                              <w:rPr>
                                <w:rFonts w:ascii="Arial" w:hAnsi="Arial" w:cs="Arial"/>
                                <w:b/>
                              </w:rPr>
                            </w:pPr>
                            <w:r w:rsidRPr="006430BD">
                              <w:rPr>
                                <w:rFonts w:ascii="Arial" w:hAnsi="Arial" w:cs="Arial"/>
                                <w:b/>
                              </w:rPr>
                              <w:t>Adverse effects, special warnings and precautions for use (consult SPC for full list)</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Pregnancy </w:t>
                            </w:r>
                          </w:p>
                          <w:p w:rsidR="00A35F17" w:rsidRDefault="006430BD" w:rsidP="006430BD">
                            <w:pPr>
                              <w:spacing w:before="94"/>
                              <w:ind w:left="237"/>
                              <w:rPr>
                                <w:rFonts w:ascii="Arial" w:hAnsi="Arial" w:cs="Arial"/>
                                <w:sz w:val="20"/>
                                <w:szCs w:val="20"/>
                              </w:rPr>
                            </w:pPr>
                            <w:r w:rsidRPr="006430BD">
                              <w:rPr>
                                <w:rFonts w:ascii="Arial" w:hAnsi="Arial" w:cs="Arial"/>
                                <w:sz w:val="20"/>
                                <w:szCs w:val="20"/>
                              </w:rPr>
                              <w:t xml:space="preserve">There </w:t>
                            </w:r>
                            <w:r w:rsidR="00A35F17">
                              <w:rPr>
                                <w:rFonts w:ascii="Arial" w:hAnsi="Arial" w:cs="Arial"/>
                                <w:sz w:val="20"/>
                                <w:szCs w:val="20"/>
                              </w:rPr>
                              <w:t>is</w:t>
                            </w:r>
                            <w:r w:rsidRPr="006430BD">
                              <w:rPr>
                                <w:rFonts w:ascii="Arial" w:hAnsi="Arial" w:cs="Arial"/>
                                <w:sz w:val="20"/>
                                <w:szCs w:val="20"/>
                              </w:rPr>
                              <w:t xml:space="preserve"> limited data from the use of </w:t>
                            </w:r>
                            <w:r w:rsidR="00A35F17">
                              <w:rPr>
                                <w:rFonts w:ascii="Arial" w:hAnsi="Arial" w:cs="Arial"/>
                                <w:sz w:val="20"/>
                                <w:szCs w:val="20"/>
                              </w:rPr>
                              <w:t>vortioxetine</w:t>
                            </w:r>
                            <w:r w:rsidRPr="006430BD">
                              <w:rPr>
                                <w:rFonts w:ascii="Arial" w:hAnsi="Arial" w:cs="Arial"/>
                                <w:sz w:val="20"/>
                                <w:szCs w:val="20"/>
                              </w:rPr>
                              <w:t xml:space="preserve"> in pregnant women. </w:t>
                            </w:r>
                            <w:r w:rsidR="00A35F17" w:rsidRPr="00A35F17">
                              <w:rPr>
                                <w:rFonts w:ascii="Arial" w:hAnsi="Arial" w:cs="Arial"/>
                                <w:sz w:val="20"/>
                                <w:szCs w:val="20"/>
                              </w:rPr>
                              <w:t>should only be administered to pregnant women if the expected benefits outweigh the potential risk to the foetus</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Breast-feeding </w:t>
                            </w:r>
                          </w:p>
                          <w:p w:rsidR="00417D46" w:rsidRPr="00417D46" w:rsidRDefault="00417D46" w:rsidP="00417D46">
                            <w:pPr>
                              <w:spacing w:before="94"/>
                              <w:ind w:left="237"/>
                              <w:rPr>
                                <w:rFonts w:ascii="Arial" w:hAnsi="Arial" w:cs="Arial"/>
                                <w:sz w:val="20"/>
                                <w:szCs w:val="20"/>
                              </w:rPr>
                            </w:pPr>
                            <w:r w:rsidRPr="00417D46">
                              <w:rPr>
                                <w:rFonts w:ascii="Arial" w:hAnsi="Arial" w:cs="Arial"/>
                                <w:sz w:val="20"/>
                                <w:szCs w:val="20"/>
                              </w:rPr>
                              <w:t>Available data in animals have shown excretion of vortioxetine/ vortioxetine metabolites in milk. It is expected that vortioxetine will be excreted into human milk.</w:t>
                            </w:r>
                          </w:p>
                          <w:p w:rsidR="00417D46" w:rsidRPr="00417D46" w:rsidRDefault="00417D46" w:rsidP="00417D46">
                            <w:pPr>
                              <w:spacing w:before="94"/>
                              <w:ind w:left="237"/>
                              <w:rPr>
                                <w:rFonts w:ascii="Arial" w:hAnsi="Arial" w:cs="Arial"/>
                                <w:sz w:val="20"/>
                                <w:szCs w:val="20"/>
                              </w:rPr>
                            </w:pPr>
                            <w:r w:rsidRPr="00417D46">
                              <w:rPr>
                                <w:rFonts w:ascii="Arial" w:hAnsi="Arial" w:cs="Arial"/>
                                <w:sz w:val="20"/>
                                <w:szCs w:val="20"/>
                              </w:rPr>
                              <w:t>A risk to the breastfeeding child cannot be excluded.</w:t>
                            </w:r>
                          </w:p>
                          <w:p w:rsidR="00417D46" w:rsidRDefault="00417D46" w:rsidP="00417D46">
                            <w:pPr>
                              <w:spacing w:before="94"/>
                              <w:ind w:left="237"/>
                              <w:rPr>
                                <w:rFonts w:ascii="Arial" w:hAnsi="Arial" w:cs="Arial"/>
                                <w:sz w:val="20"/>
                                <w:szCs w:val="20"/>
                              </w:rPr>
                            </w:pPr>
                            <w:r w:rsidRPr="00417D46">
                              <w:rPr>
                                <w:rFonts w:ascii="Arial" w:hAnsi="Arial" w:cs="Arial"/>
                                <w:sz w:val="20"/>
                                <w:szCs w:val="20"/>
                              </w:rPr>
                              <w:t>A decision must be made whether to discontinue breast-feeding or to discontinue/abstain from Brintellix treatment taking into account the benefit of breast-feeding for the child and the benefit of therapy for the woman.</w:t>
                            </w:r>
                          </w:p>
                          <w:p w:rsidR="006430BD" w:rsidRPr="006430BD" w:rsidRDefault="006430BD" w:rsidP="00417D46">
                            <w:pPr>
                              <w:spacing w:before="94"/>
                              <w:ind w:left="237"/>
                              <w:rPr>
                                <w:rFonts w:ascii="Arial" w:hAnsi="Arial" w:cs="Arial"/>
                                <w:b/>
                                <w:sz w:val="20"/>
                                <w:szCs w:val="20"/>
                              </w:rPr>
                            </w:pPr>
                            <w:r w:rsidRPr="006430BD">
                              <w:rPr>
                                <w:rFonts w:ascii="Arial" w:hAnsi="Arial" w:cs="Arial"/>
                                <w:b/>
                                <w:sz w:val="20"/>
                                <w:szCs w:val="20"/>
                              </w:rPr>
                              <w:t xml:space="preserve">Bipolar disorder/ mania / hypomania </w:t>
                            </w:r>
                          </w:p>
                          <w:p w:rsidR="006430BD" w:rsidRPr="006430BD" w:rsidRDefault="00417D46" w:rsidP="006430BD">
                            <w:pPr>
                              <w:spacing w:before="94"/>
                              <w:ind w:left="237"/>
                              <w:rPr>
                                <w:rFonts w:ascii="Arial" w:hAnsi="Arial" w:cs="Arial"/>
                                <w:sz w:val="20"/>
                                <w:szCs w:val="20"/>
                              </w:rPr>
                            </w:pPr>
                            <w:r>
                              <w:rPr>
                                <w:rFonts w:ascii="Arial" w:hAnsi="Arial" w:cs="Arial"/>
                                <w:sz w:val="20"/>
                                <w:szCs w:val="20"/>
                              </w:rPr>
                              <w:t>Vortioxetine</w:t>
                            </w:r>
                            <w:r w:rsidR="006430BD" w:rsidRPr="006430BD">
                              <w:rPr>
                                <w:rFonts w:ascii="Arial" w:hAnsi="Arial" w:cs="Arial"/>
                                <w:sz w:val="20"/>
                                <w:szCs w:val="20"/>
                              </w:rPr>
                              <w:t xml:space="preserve"> should be used with caution in patients with a history of bipolar disorder, mania or hypomania and should be discontinued if a patient develops manic symptoms </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Suicide/suicidal thoughts </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Depression is associated with an increased risk of suicidal thoughts, self-harm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of antidepressants in adult patients with psychiatric disorders showed an increased risk of suicidal behaviour with antidepressants compared to placebo, in patients less than 25 years old.</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Close supervision of patients and in particular those at high risk should accompany treatment especially in early treatment and following dose changes. Patients (and caregivers of patients) should be alerted to the need to monitor for any clinical worsening, suicidal behaviour or thoughts and unusual changes in behaviour and to seek medical advice immediately if these symptoms present.</w:t>
                            </w:r>
                          </w:p>
                          <w:p w:rsidR="006430BD" w:rsidRPr="006430BD" w:rsidRDefault="00417D46" w:rsidP="006430BD">
                            <w:pPr>
                              <w:spacing w:before="94"/>
                              <w:ind w:left="237"/>
                              <w:rPr>
                                <w:rFonts w:ascii="Arial" w:hAnsi="Arial" w:cs="Arial"/>
                                <w:b/>
                                <w:sz w:val="20"/>
                                <w:szCs w:val="20"/>
                              </w:rPr>
                            </w:pPr>
                            <w:r>
                              <w:rPr>
                                <w:rFonts w:ascii="Arial" w:hAnsi="Arial" w:cs="Arial"/>
                                <w:b/>
                                <w:sz w:val="20"/>
                                <w:szCs w:val="20"/>
                              </w:rPr>
                              <w:t>Cautions related to all SSRIs</w:t>
                            </w:r>
                          </w:p>
                          <w:p w:rsidR="006430BD" w:rsidRPr="006430BD" w:rsidRDefault="00417D46" w:rsidP="006430BD">
                            <w:pPr>
                              <w:spacing w:before="94"/>
                              <w:ind w:left="237"/>
                              <w:rPr>
                                <w:rFonts w:ascii="Arial" w:hAnsi="Arial" w:cs="Arial"/>
                                <w:sz w:val="20"/>
                                <w:szCs w:val="20"/>
                              </w:rPr>
                            </w:pPr>
                            <w:r>
                              <w:rPr>
                                <w:rFonts w:ascii="Arial" w:hAnsi="Arial" w:cs="Arial"/>
                                <w:sz w:val="20"/>
                                <w:szCs w:val="20"/>
                              </w:rPr>
                              <w:t>Caution should be exercised in the same way as for all SSRIs when treating patients at risk of hyponatraemia, seizures, haemorrhage or serotonin syndrome</w:t>
                            </w:r>
                          </w:p>
                          <w:p w:rsidR="00202C80" w:rsidRDefault="00417D46" w:rsidP="008310A8">
                            <w:pPr>
                              <w:ind w:firstLine="237"/>
                              <w:rPr>
                                <w:rFonts w:ascii="Arial" w:hAnsi="Arial" w:cs="Arial"/>
                                <w:sz w:val="20"/>
                                <w:szCs w:val="20"/>
                              </w:rPr>
                            </w:pPr>
                            <w:r w:rsidRPr="00417D46">
                              <w:rPr>
                                <w:rFonts w:ascii="Arial" w:hAnsi="Arial" w:cs="Arial"/>
                                <w:sz w:val="20"/>
                                <w:szCs w:val="20"/>
                              </w:rPr>
                              <w:t>The most common</w:t>
                            </w:r>
                            <w:r>
                              <w:rPr>
                                <w:rFonts w:ascii="Arial" w:hAnsi="Arial" w:cs="Arial"/>
                                <w:b/>
                                <w:sz w:val="20"/>
                                <w:szCs w:val="20"/>
                              </w:rPr>
                              <w:t xml:space="preserve"> a</w:t>
                            </w:r>
                            <w:r w:rsidR="006430BD" w:rsidRPr="006430BD">
                              <w:rPr>
                                <w:rFonts w:ascii="Arial" w:hAnsi="Arial" w:cs="Arial"/>
                                <w:b/>
                                <w:sz w:val="20"/>
                                <w:szCs w:val="20"/>
                              </w:rPr>
                              <w:t>dverse reaction</w:t>
                            </w:r>
                            <w:r w:rsidR="006430BD" w:rsidRPr="006430BD">
                              <w:rPr>
                                <w:rFonts w:ascii="Arial" w:hAnsi="Arial" w:cs="Arial"/>
                                <w:sz w:val="20"/>
                                <w:szCs w:val="20"/>
                              </w:rPr>
                              <w:t xml:space="preserve"> </w:t>
                            </w:r>
                            <w:r>
                              <w:rPr>
                                <w:rFonts w:ascii="Arial" w:hAnsi="Arial" w:cs="Arial"/>
                                <w:sz w:val="20"/>
                                <w:szCs w:val="20"/>
                              </w:rPr>
                              <w:t xml:space="preserve">with vortioxetine was </w:t>
                            </w:r>
                            <w:r w:rsidR="006430BD" w:rsidRPr="006430BD">
                              <w:rPr>
                                <w:rFonts w:ascii="Arial" w:hAnsi="Arial" w:cs="Arial"/>
                                <w:sz w:val="20"/>
                                <w:szCs w:val="20"/>
                              </w:rPr>
                              <w:t>nausea.</w:t>
                            </w:r>
                            <w:r>
                              <w:rPr>
                                <w:rFonts w:ascii="Arial" w:hAnsi="Arial" w:cs="Arial"/>
                                <w:sz w:val="20"/>
                                <w:szCs w:val="20"/>
                              </w:rPr>
                              <w:t xml:space="preserve"> </w:t>
                            </w:r>
                          </w:p>
                          <w:p w:rsidR="00202C80" w:rsidRDefault="00417D46" w:rsidP="008310A8">
                            <w:pPr>
                              <w:ind w:firstLine="237"/>
                              <w:rPr>
                                <w:rFonts w:ascii="Arial" w:hAnsi="Arial" w:cs="Arial"/>
                                <w:sz w:val="20"/>
                                <w:szCs w:val="20"/>
                              </w:rPr>
                            </w:pPr>
                            <w:r>
                              <w:rPr>
                                <w:rFonts w:ascii="Arial" w:hAnsi="Arial" w:cs="Arial"/>
                                <w:sz w:val="20"/>
                                <w:szCs w:val="20"/>
                              </w:rPr>
                              <w:t>The incidence of adverse reactions increases at doses of 20mg.</w:t>
                            </w:r>
                            <w:r w:rsidR="00202C80">
                              <w:rPr>
                                <w:rFonts w:ascii="Arial" w:hAnsi="Arial" w:cs="Arial"/>
                                <w:sz w:val="20"/>
                                <w:szCs w:val="20"/>
                              </w:rPr>
                              <w:t xml:space="preserve"> </w:t>
                            </w:r>
                          </w:p>
                          <w:p w:rsidR="006430BD" w:rsidRPr="006430BD" w:rsidRDefault="00202C80" w:rsidP="008310A8">
                            <w:pPr>
                              <w:ind w:left="237"/>
                              <w:rPr>
                                <w:rFonts w:ascii="Arial" w:hAnsi="Arial" w:cs="Arial"/>
                                <w:sz w:val="20"/>
                                <w:szCs w:val="20"/>
                              </w:rPr>
                            </w:pPr>
                            <w:r>
                              <w:rPr>
                                <w:rFonts w:ascii="Arial" w:hAnsi="Arial" w:cs="Arial"/>
                                <w:sz w:val="20"/>
                                <w:szCs w:val="20"/>
                              </w:rPr>
                              <w:t>Common side effects include a</w:t>
                            </w:r>
                            <w:r w:rsidRPr="00202C80">
                              <w:rPr>
                                <w:rFonts w:ascii="Arial" w:hAnsi="Arial" w:cs="Arial"/>
                                <w:sz w:val="20"/>
                                <w:szCs w:val="20"/>
                              </w:rPr>
                              <w:t>bnormal dreams</w:t>
                            </w:r>
                            <w:r>
                              <w:rPr>
                                <w:rFonts w:ascii="Arial" w:hAnsi="Arial" w:cs="Arial"/>
                                <w:sz w:val="20"/>
                                <w:szCs w:val="20"/>
                              </w:rPr>
                              <w:t xml:space="preserve">, </w:t>
                            </w:r>
                            <w:r>
                              <w:rPr>
                                <w:rFonts w:ascii="Arial" w:hAnsi="Arial" w:cs="Arial"/>
                                <w:color w:val="000000"/>
                                <w:sz w:val="20"/>
                                <w:szCs w:val="20"/>
                              </w:rPr>
                              <w:t>dizziness, d</w:t>
                            </w:r>
                            <w:r w:rsidRPr="00202C80">
                              <w:rPr>
                                <w:rFonts w:ascii="Arial" w:eastAsia="Times New Roman" w:hAnsi="Arial" w:cs="Arial"/>
                                <w:color w:val="000000"/>
                                <w:sz w:val="20"/>
                                <w:szCs w:val="20"/>
                                <w:lang w:eastAsia="en-GB"/>
                              </w:rPr>
                              <w:t>iarrhoea,</w:t>
                            </w:r>
                            <w:r>
                              <w:rPr>
                                <w:rFonts w:ascii="Arial" w:eastAsia="Times New Roman" w:hAnsi="Arial" w:cs="Arial"/>
                                <w:color w:val="000000"/>
                                <w:sz w:val="20"/>
                                <w:szCs w:val="20"/>
                                <w:lang w:eastAsia="en-GB"/>
                              </w:rPr>
                              <w:t xml:space="preserve"> c</w:t>
                            </w:r>
                            <w:r w:rsidRPr="00202C80">
                              <w:rPr>
                                <w:rFonts w:ascii="Arial" w:eastAsia="Times New Roman" w:hAnsi="Arial" w:cs="Arial"/>
                                <w:color w:val="000000"/>
                                <w:sz w:val="20"/>
                                <w:szCs w:val="20"/>
                                <w:lang w:eastAsia="en-GB"/>
                              </w:rPr>
                              <w:t>onstipation,</w:t>
                            </w:r>
                            <w:r>
                              <w:rPr>
                                <w:rFonts w:ascii="Arial" w:eastAsia="Times New Roman" w:hAnsi="Arial" w:cs="Arial"/>
                                <w:color w:val="000000"/>
                                <w:sz w:val="20"/>
                                <w:szCs w:val="20"/>
                                <w:lang w:eastAsia="en-GB"/>
                              </w:rPr>
                              <w:t xml:space="preserve"> v</w:t>
                            </w:r>
                            <w:r w:rsidRPr="00202C80">
                              <w:rPr>
                                <w:rFonts w:ascii="Arial" w:eastAsia="Times New Roman" w:hAnsi="Arial" w:cs="Arial"/>
                                <w:color w:val="000000"/>
                                <w:sz w:val="20"/>
                                <w:szCs w:val="20"/>
                                <w:lang w:eastAsia="en-GB"/>
                              </w:rPr>
                              <w:t>omiting</w:t>
                            </w:r>
                            <w:r>
                              <w:rPr>
                                <w:rFonts w:ascii="Arial" w:eastAsia="Times New Roman" w:hAnsi="Arial" w:cs="Arial"/>
                                <w:color w:val="000000"/>
                                <w:sz w:val="20"/>
                                <w:szCs w:val="20"/>
                                <w:lang w:eastAsia="en-GB"/>
                              </w:rPr>
                              <w:t xml:space="preserve"> and p</w:t>
                            </w:r>
                            <w:r>
                              <w:rPr>
                                <w:rFonts w:ascii="Arial" w:hAnsi="Arial" w:cs="Arial"/>
                                <w:color w:val="000000"/>
                                <w:sz w:val="20"/>
                                <w:szCs w:val="20"/>
                              </w:rPr>
                              <w:t xml:space="preserve">ruritus, including generalised pruritus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4E116" id="_x0000_s1028" type="#_x0000_t202" style="position:absolute;margin-left:-10.65pt;margin-top:11.9pt;width:479.35pt;height:67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" fillcolor="#f2f2f2 [3052]">
                <v:textbox>
                  <w:txbxContent>
                    <w:p w:rsidR="006430BD" w:rsidRPr="006430BD" w:rsidRDefault="006430BD" w:rsidP="006430BD">
                      <w:pPr>
                        <w:spacing w:before="94"/>
                        <w:ind w:left="237"/>
                        <w:rPr>
                          <w:rFonts w:ascii="Arial" w:hAnsi="Arial" w:cs="Arial"/>
                          <w:b/>
                        </w:rPr>
                      </w:pPr>
                      <w:r w:rsidRPr="006430BD">
                        <w:rPr>
                          <w:rFonts w:ascii="Arial" w:hAnsi="Arial" w:cs="Arial"/>
                          <w:b/>
                        </w:rPr>
                        <w:t>Adverse effects, special warnings and precautions for use (consult SPC for full list)</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Pregnancy </w:t>
                      </w:r>
                    </w:p>
                    <w:p w:rsidR="00A35F17" w:rsidRDefault="006430BD" w:rsidP="006430BD">
                      <w:pPr>
                        <w:spacing w:before="94"/>
                        <w:ind w:left="237"/>
                        <w:rPr>
                          <w:rFonts w:ascii="Arial" w:hAnsi="Arial" w:cs="Arial"/>
                          <w:sz w:val="20"/>
                          <w:szCs w:val="20"/>
                        </w:rPr>
                      </w:pPr>
                      <w:r w:rsidRPr="006430BD">
                        <w:rPr>
                          <w:rFonts w:ascii="Arial" w:hAnsi="Arial" w:cs="Arial"/>
                          <w:sz w:val="20"/>
                          <w:szCs w:val="20"/>
                        </w:rPr>
                        <w:t xml:space="preserve">There </w:t>
                      </w:r>
                      <w:r w:rsidR="00A35F17">
                        <w:rPr>
                          <w:rFonts w:ascii="Arial" w:hAnsi="Arial" w:cs="Arial"/>
                          <w:sz w:val="20"/>
                          <w:szCs w:val="20"/>
                        </w:rPr>
                        <w:t>is</w:t>
                      </w:r>
                      <w:r w:rsidRPr="006430BD">
                        <w:rPr>
                          <w:rFonts w:ascii="Arial" w:hAnsi="Arial" w:cs="Arial"/>
                          <w:sz w:val="20"/>
                          <w:szCs w:val="20"/>
                        </w:rPr>
                        <w:t xml:space="preserve"> limited data from the use of </w:t>
                      </w:r>
                      <w:r w:rsidR="00A35F17">
                        <w:rPr>
                          <w:rFonts w:ascii="Arial" w:hAnsi="Arial" w:cs="Arial"/>
                          <w:sz w:val="20"/>
                          <w:szCs w:val="20"/>
                        </w:rPr>
                        <w:t>vortioxetine</w:t>
                      </w:r>
                      <w:r w:rsidRPr="006430BD">
                        <w:rPr>
                          <w:rFonts w:ascii="Arial" w:hAnsi="Arial" w:cs="Arial"/>
                          <w:sz w:val="20"/>
                          <w:szCs w:val="20"/>
                        </w:rPr>
                        <w:t xml:space="preserve"> in pregnant women. </w:t>
                      </w:r>
                      <w:r w:rsidR="00A35F17" w:rsidRPr="00A35F17">
                        <w:rPr>
                          <w:rFonts w:ascii="Arial" w:hAnsi="Arial" w:cs="Arial"/>
                          <w:sz w:val="20"/>
                          <w:szCs w:val="20"/>
                        </w:rPr>
                        <w:t>should only be administered to pregnant women if the expected benefits outweigh the potential risk to the foetus</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Breast-feeding </w:t>
                      </w:r>
                    </w:p>
                    <w:p w:rsidR="00417D46" w:rsidRPr="00417D46" w:rsidRDefault="00417D46" w:rsidP="00417D46">
                      <w:pPr>
                        <w:spacing w:before="94"/>
                        <w:ind w:left="237"/>
                        <w:rPr>
                          <w:rFonts w:ascii="Arial" w:hAnsi="Arial" w:cs="Arial"/>
                          <w:sz w:val="20"/>
                          <w:szCs w:val="20"/>
                        </w:rPr>
                      </w:pPr>
                      <w:r w:rsidRPr="00417D46">
                        <w:rPr>
                          <w:rFonts w:ascii="Arial" w:hAnsi="Arial" w:cs="Arial"/>
                          <w:sz w:val="20"/>
                          <w:szCs w:val="20"/>
                        </w:rPr>
                        <w:t>Available data in animals have shown excretion of vortioxetine/ vortioxetine metabolites in milk. It is expected that vortioxetine will be excreted into human milk.</w:t>
                      </w:r>
                    </w:p>
                    <w:p w:rsidR="00417D46" w:rsidRPr="00417D46" w:rsidRDefault="00417D46" w:rsidP="00417D46">
                      <w:pPr>
                        <w:spacing w:before="94"/>
                        <w:ind w:left="237"/>
                        <w:rPr>
                          <w:rFonts w:ascii="Arial" w:hAnsi="Arial" w:cs="Arial"/>
                          <w:sz w:val="20"/>
                          <w:szCs w:val="20"/>
                        </w:rPr>
                      </w:pPr>
                      <w:r w:rsidRPr="00417D46">
                        <w:rPr>
                          <w:rFonts w:ascii="Arial" w:hAnsi="Arial" w:cs="Arial"/>
                          <w:sz w:val="20"/>
                          <w:szCs w:val="20"/>
                        </w:rPr>
                        <w:t>A risk to the breastfeeding child cannot be excluded.</w:t>
                      </w:r>
                    </w:p>
                    <w:p w:rsidR="00417D46" w:rsidRDefault="00417D46" w:rsidP="00417D46">
                      <w:pPr>
                        <w:spacing w:before="94"/>
                        <w:ind w:left="237"/>
                        <w:rPr>
                          <w:rFonts w:ascii="Arial" w:hAnsi="Arial" w:cs="Arial"/>
                          <w:sz w:val="20"/>
                          <w:szCs w:val="20"/>
                        </w:rPr>
                      </w:pPr>
                      <w:r w:rsidRPr="00417D46">
                        <w:rPr>
                          <w:rFonts w:ascii="Arial" w:hAnsi="Arial" w:cs="Arial"/>
                          <w:sz w:val="20"/>
                          <w:szCs w:val="20"/>
                        </w:rPr>
                        <w:t>A decision must be made whether to discontinue breast-feeding or to discontinue/abstain from Brintellix treatment taking into account the benefit of breast-feeding for the child and the benefit of therapy for the woman.</w:t>
                      </w:r>
                    </w:p>
                    <w:p w:rsidR="006430BD" w:rsidRPr="006430BD" w:rsidRDefault="006430BD" w:rsidP="00417D46">
                      <w:pPr>
                        <w:spacing w:before="94"/>
                        <w:ind w:left="237"/>
                        <w:rPr>
                          <w:rFonts w:ascii="Arial" w:hAnsi="Arial" w:cs="Arial"/>
                          <w:b/>
                          <w:sz w:val="20"/>
                          <w:szCs w:val="20"/>
                        </w:rPr>
                      </w:pPr>
                      <w:r w:rsidRPr="006430BD">
                        <w:rPr>
                          <w:rFonts w:ascii="Arial" w:hAnsi="Arial" w:cs="Arial"/>
                          <w:b/>
                          <w:sz w:val="20"/>
                          <w:szCs w:val="20"/>
                        </w:rPr>
                        <w:t xml:space="preserve">Bipolar disorder/ mania / hypomania </w:t>
                      </w:r>
                    </w:p>
                    <w:p w:rsidR="006430BD" w:rsidRPr="006430BD" w:rsidRDefault="00417D46" w:rsidP="006430BD">
                      <w:pPr>
                        <w:spacing w:before="94"/>
                        <w:ind w:left="237"/>
                        <w:rPr>
                          <w:rFonts w:ascii="Arial" w:hAnsi="Arial" w:cs="Arial"/>
                          <w:sz w:val="20"/>
                          <w:szCs w:val="20"/>
                        </w:rPr>
                      </w:pPr>
                      <w:r>
                        <w:rPr>
                          <w:rFonts w:ascii="Arial" w:hAnsi="Arial" w:cs="Arial"/>
                          <w:sz w:val="20"/>
                          <w:szCs w:val="20"/>
                        </w:rPr>
                        <w:t>Vortioxetine</w:t>
                      </w:r>
                      <w:r w:rsidR="006430BD" w:rsidRPr="006430BD">
                        <w:rPr>
                          <w:rFonts w:ascii="Arial" w:hAnsi="Arial" w:cs="Arial"/>
                          <w:sz w:val="20"/>
                          <w:szCs w:val="20"/>
                        </w:rPr>
                        <w:t xml:space="preserve"> should be used with caution in patients with a history of bipolar disorder, mania or hypomania and should be discontinued if a patient develops manic symptoms </w:t>
                      </w:r>
                    </w:p>
                    <w:p w:rsidR="006430BD" w:rsidRPr="006430BD" w:rsidRDefault="006430BD" w:rsidP="006430BD">
                      <w:pPr>
                        <w:spacing w:before="94"/>
                        <w:ind w:left="237"/>
                        <w:rPr>
                          <w:rFonts w:ascii="Arial" w:hAnsi="Arial" w:cs="Arial"/>
                          <w:b/>
                          <w:sz w:val="20"/>
                          <w:szCs w:val="20"/>
                        </w:rPr>
                      </w:pPr>
                      <w:r w:rsidRPr="006430BD">
                        <w:rPr>
                          <w:rFonts w:ascii="Arial" w:hAnsi="Arial" w:cs="Arial"/>
                          <w:b/>
                          <w:sz w:val="20"/>
                          <w:szCs w:val="20"/>
                        </w:rPr>
                        <w:t xml:space="preserve">Suicide/suicidal thoughts </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Depression is associated with an increased risk of suicidal thoughts, self-harm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of antidepressants in adult patients with psychiatric disorders showed an increased risk of suicidal behaviour with antidepressants compared to placebo, in patients less than 25 years old.</w:t>
                      </w:r>
                    </w:p>
                    <w:p w:rsidR="006430BD" w:rsidRPr="006430BD" w:rsidRDefault="006430BD" w:rsidP="006430BD">
                      <w:pPr>
                        <w:spacing w:before="94"/>
                        <w:ind w:left="237"/>
                        <w:rPr>
                          <w:rFonts w:ascii="Arial" w:hAnsi="Arial" w:cs="Arial"/>
                          <w:sz w:val="20"/>
                          <w:szCs w:val="20"/>
                        </w:rPr>
                      </w:pPr>
                      <w:r w:rsidRPr="006430BD">
                        <w:rPr>
                          <w:rFonts w:ascii="Arial" w:hAnsi="Arial" w:cs="Arial"/>
                          <w:sz w:val="20"/>
                          <w:szCs w:val="20"/>
                        </w:rPr>
                        <w:t>Close supervision of patients and in particular those at high risk should accompany treatment especially in early treatment and following dose changes. Patients (and caregivers of patients) should be alerted to the need to monitor for any clinical worsening, suicidal behaviour or thoughts and unusual changes in behaviour and to seek medical advice immediately if these symptoms present.</w:t>
                      </w:r>
                    </w:p>
                    <w:p w:rsidR="006430BD" w:rsidRPr="006430BD" w:rsidRDefault="00417D46" w:rsidP="006430BD">
                      <w:pPr>
                        <w:spacing w:before="94"/>
                        <w:ind w:left="237"/>
                        <w:rPr>
                          <w:rFonts w:ascii="Arial" w:hAnsi="Arial" w:cs="Arial"/>
                          <w:b/>
                          <w:sz w:val="20"/>
                          <w:szCs w:val="20"/>
                        </w:rPr>
                      </w:pPr>
                      <w:r>
                        <w:rPr>
                          <w:rFonts w:ascii="Arial" w:hAnsi="Arial" w:cs="Arial"/>
                          <w:b/>
                          <w:sz w:val="20"/>
                          <w:szCs w:val="20"/>
                        </w:rPr>
                        <w:t>Cautions related to all SSRIs</w:t>
                      </w:r>
                    </w:p>
                    <w:p w:rsidR="006430BD" w:rsidRPr="006430BD" w:rsidRDefault="00417D46" w:rsidP="006430BD">
                      <w:pPr>
                        <w:spacing w:before="94"/>
                        <w:ind w:left="237"/>
                        <w:rPr>
                          <w:rFonts w:ascii="Arial" w:hAnsi="Arial" w:cs="Arial"/>
                          <w:sz w:val="20"/>
                          <w:szCs w:val="20"/>
                        </w:rPr>
                      </w:pPr>
                      <w:r>
                        <w:rPr>
                          <w:rFonts w:ascii="Arial" w:hAnsi="Arial" w:cs="Arial"/>
                          <w:sz w:val="20"/>
                          <w:szCs w:val="20"/>
                        </w:rPr>
                        <w:t>Caution should be exercised in the same way as for all SSRIs when treating patients at risk of hyponatraemia, seizures, haemorrhage or serotonin syndrome</w:t>
                      </w:r>
                    </w:p>
                    <w:p w:rsidR="00202C80" w:rsidRDefault="00417D46" w:rsidP="008310A8">
                      <w:pPr>
                        <w:ind w:firstLine="237"/>
                        <w:rPr>
                          <w:rFonts w:ascii="Arial" w:hAnsi="Arial" w:cs="Arial"/>
                          <w:sz w:val="20"/>
                          <w:szCs w:val="20"/>
                        </w:rPr>
                      </w:pPr>
                      <w:r w:rsidRPr="00417D46">
                        <w:rPr>
                          <w:rFonts w:ascii="Arial" w:hAnsi="Arial" w:cs="Arial"/>
                          <w:sz w:val="20"/>
                          <w:szCs w:val="20"/>
                        </w:rPr>
                        <w:t>The most common</w:t>
                      </w:r>
                      <w:r>
                        <w:rPr>
                          <w:rFonts w:ascii="Arial" w:hAnsi="Arial" w:cs="Arial"/>
                          <w:b/>
                          <w:sz w:val="20"/>
                          <w:szCs w:val="20"/>
                        </w:rPr>
                        <w:t xml:space="preserve"> a</w:t>
                      </w:r>
                      <w:r w:rsidR="006430BD" w:rsidRPr="006430BD">
                        <w:rPr>
                          <w:rFonts w:ascii="Arial" w:hAnsi="Arial" w:cs="Arial"/>
                          <w:b/>
                          <w:sz w:val="20"/>
                          <w:szCs w:val="20"/>
                        </w:rPr>
                        <w:t>dverse reaction</w:t>
                      </w:r>
                      <w:r w:rsidR="006430BD" w:rsidRPr="006430BD">
                        <w:rPr>
                          <w:rFonts w:ascii="Arial" w:hAnsi="Arial" w:cs="Arial"/>
                          <w:sz w:val="20"/>
                          <w:szCs w:val="20"/>
                        </w:rPr>
                        <w:t xml:space="preserve"> </w:t>
                      </w:r>
                      <w:r>
                        <w:rPr>
                          <w:rFonts w:ascii="Arial" w:hAnsi="Arial" w:cs="Arial"/>
                          <w:sz w:val="20"/>
                          <w:szCs w:val="20"/>
                        </w:rPr>
                        <w:t xml:space="preserve">with vortioxetine was </w:t>
                      </w:r>
                      <w:r w:rsidR="006430BD" w:rsidRPr="006430BD">
                        <w:rPr>
                          <w:rFonts w:ascii="Arial" w:hAnsi="Arial" w:cs="Arial"/>
                          <w:sz w:val="20"/>
                          <w:szCs w:val="20"/>
                        </w:rPr>
                        <w:t>nausea.</w:t>
                      </w:r>
                      <w:r>
                        <w:rPr>
                          <w:rFonts w:ascii="Arial" w:hAnsi="Arial" w:cs="Arial"/>
                          <w:sz w:val="20"/>
                          <w:szCs w:val="20"/>
                        </w:rPr>
                        <w:t xml:space="preserve"> </w:t>
                      </w:r>
                    </w:p>
                    <w:p w:rsidR="00202C80" w:rsidRDefault="00417D46" w:rsidP="008310A8">
                      <w:pPr>
                        <w:ind w:firstLine="237"/>
                        <w:rPr>
                          <w:rFonts w:ascii="Arial" w:hAnsi="Arial" w:cs="Arial"/>
                          <w:sz w:val="20"/>
                          <w:szCs w:val="20"/>
                        </w:rPr>
                      </w:pPr>
                      <w:r>
                        <w:rPr>
                          <w:rFonts w:ascii="Arial" w:hAnsi="Arial" w:cs="Arial"/>
                          <w:sz w:val="20"/>
                          <w:szCs w:val="20"/>
                        </w:rPr>
                        <w:t>The incidence of adverse reactions increases at doses of 20mg.</w:t>
                      </w:r>
                      <w:r w:rsidR="00202C80">
                        <w:rPr>
                          <w:rFonts w:ascii="Arial" w:hAnsi="Arial" w:cs="Arial"/>
                          <w:sz w:val="20"/>
                          <w:szCs w:val="20"/>
                        </w:rPr>
                        <w:t xml:space="preserve"> </w:t>
                      </w:r>
                    </w:p>
                    <w:p w:rsidR="006430BD" w:rsidRPr="006430BD" w:rsidRDefault="00202C80" w:rsidP="008310A8">
                      <w:pPr>
                        <w:ind w:left="237"/>
                        <w:rPr>
                          <w:rFonts w:ascii="Arial" w:hAnsi="Arial" w:cs="Arial"/>
                          <w:sz w:val="20"/>
                          <w:szCs w:val="20"/>
                        </w:rPr>
                      </w:pPr>
                      <w:r>
                        <w:rPr>
                          <w:rFonts w:ascii="Arial" w:hAnsi="Arial" w:cs="Arial"/>
                          <w:sz w:val="20"/>
                          <w:szCs w:val="20"/>
                        </w:rPr>
                        <w:t>Common side effects include a</w:t>
                      </w:r>
                      <w:r w:rsidRPr="00202C80">
                        <w:rPr>
                          <w:rFonts w:ascii="Arial" w:hAnsi="Arial" w:cs="Arial"/>
                          <w:sz w:val="20"/>
                          <w:szCs w:val="20"/>
                        </w:rPr>
                        <w:t>bnormal dreams</w:t>
                      </w:r>
                      <w:r>
                        <w:rPr>
                          <w:rFonts w:ascii="Arial" w:hAnsi="Arial" w:cs="Arial"/>
                          <w:sz w:val="20"/>
                          <w:szCs w:val="20"/>
                        </w:rPr>
                        <w:t xml:space="preserve">, </w:t>
                      </w:r>
                      <w:r>
                        <w:rPr>
                          <w:rFonts w:ascii="Arial" w:hAnsi="Arial" w:cs="Arial"/>
                          <w:color w:val="000000"/>
                          <w:sz w:val="20"/>
                          <w:szCs w:val="20"/>
                        </w:rPr>
                        <w:t>dizziness, d</w:t>
                      </w:r>
                      <w:r w:rsidRPr="00202C80">
                        <w:rPr>
                          <w:rFonts w:ascii="Arial" w:eastAsia="Times New Roman" w:hAnsi="Arial" w:cs="Arial"/>
                          <w:color w:val="000000"/>
                          <w:sz w:val="20"/>
                          <w:szCs w:val="20"/>
                          <w:lang w:eastAsia="en-GB"/>
                        </w:rPr>
                        <w:t>iarrhoea,</w:t>
                      </w:r>
                      <w:r>
                        <w:rPr>
                          <w:rFonts w:ascii="Arial" w:eastAsia="Times New Roman" w:hAnsi="Arial" w:cs="Arial"/>
                          <w:color w:val="000000"/>
                          <w:sz w:val="20"/>
                          <w:szCs w:val="20"/>
                          <w:lang w:eastAsia="en-GB"/>
                        </w:rPr>
                        <w:t xml:space="preserve"> c</w:t>
                      </w:r>
                      <w:r w:rsidRPr="00202C80">
                        <w:rPr>
                          <w:rFonts w:ascii="Arial" w:eastAsia="Times New Roman" w:hAnsi="Arial" w:cs="Arial"/>
                          <w:color w:val="000000"/>
                          <w:sz w:val="20"/>
                          <w:szCs w:val="20"/>
                          <w:lang w:eastAsia="en-GB"/>
                        </w:rPr>
                        <w:t>onstipation,</w:t>
                      </w:r>
                      <w:r>
                        <w:rPr>
                          <w:rFonts w:ascii="Arial" w:eastAsia="Times New Roman" w:hAnsi="Arial" w:cs="Arial"/>
                          <w:color w:val="000000"/>
                          <w:sz w:val="20"/>
                          <w:szCs w:val="20"/>
                          <w:lang w:eastAsia="en-GB"/>
                        </w:rPr>
                        <w:t xml:space="preserve"> v</w:t>
                      </w:r>
                      <w:r w:rsidRPr="00202C80">
                        <w:rPr>
                          <w:rFonts w:ascii="Arial" w:eastAsia="Times New Roman" w:hAnsi="Arial" w:cs="Arial"/>
                          <w:color w:val="000000"/>
                          <w:sz w:val="20"/>
                          <w:szCs w:val="20"/>
                          <w:lang w:eastAsia="en-GB"/>
                        </w:rPr>
                        <w:t>omiting</w:t>
                      </w:r>
                      <w:r>
                        <w:rPr>
                          <w:rFonts w:ascii="Arial" w:eastAsia="Times New Roman" w:hAnsi="Arial" w:cs="Arial"/>
                          <w:color w:val="000000"/>
                          <w:sz w:val="20"/>
                          <w:szCs w:val="20"/>
                          <w:lang w:eastAsia="en-GB"/>
                        </w:rPr>
                        <w:t xml:space="preserve"> and p</w:t>
                      </w:r>
                      <w:r>
                        <w:rPr>
                          <w:rFonts w:ascii="Arial" w:hAnsi="Arial" w:cs="Arial"/>
                          <w:color w:val="000000"/>
                          <w:sz w:val="20"/>
                          <w:szCs w:val="20"/>
                        </w:rPr>
                        <w:t xml:space="preserve">ruritus, including generalised pruritus </w:t>
                      </w:r>
                    </w:p>
                  </w:txbxContent>
                </v:textbox>
              </v:shape>
            </w:pict>
          </mc:Fallback>
        </mc:AlternateContent>
      </w: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6430BD">
      <w:pPr>
        <w:rPr>
          <w:rFonts w:ascii="Arial" w:hAnsi="Arial" w:cs="Arial"/>
          <w:b/>
        </w:rPr>
      </w:pPr>
    </w:p>
    <w:p w:rsidR="006430BD" w:rsidRDefault="007459FA">
      <w:pPr>
        <w:rPr>
          <w:rFonts w:ascii="Arial" w:hAnsi="Arial" w:cs="Arial"/>
          <w:b/>
          <w:sz w:val="20"/>
          <w:szCs w:val="20"/>
        </w:rPr>
      </w:pPr>
      <w:r w:rsidRPr="007459FA">
        <w:rPr>
          <w:rFonts w:ascii="Arial" w:hAnsi="Arial" w:cs="Arial"/>
          <w:b/>
          <w:noProof/>
          <w:sz w:val="20"/>
          <w:szCs w:val="20"/>
          <w:lang w:eastAsia="en-GB"/>
        </w:rPr>
        <w:lastRenderedPageBreak/>
        <mc:AlternateContent>
          <mc:Choice Requires="wps">
            <w:drawing>
              <wp:anchor distT="0" distB="0" distL="114300" distR="114300" simplePos="0" relativeHeight="251669504" behindDoc="0" locked="0" layoutInCell="1" allowOverlap="1" wp14:anchorId="0624E118" wp14:editId="0624E119">
                <wp:simplePos x="0" y="0"/>
                <wp:positionH relativeFrom="column">
                  <wp:align>center</wp:align>
                </wp:positionH>
                <wp:positionV relativeFrom="paragraph">
                  <wp:posOffset>0</wp:posOffset>
                </wp:positionV>
                <wp:extent cx="5975516" cy="4508389"/>
                <wp:effectExtent l="0" t="0" r="25400"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516" cy="4508389"/>
                        </a:xfrm>
                        <a:prstGeom prst="rect">
                          <a:avLst/>
                        </a:prstGeom>
                        <a:solidFill>
                          <a:schemeClr val="bg1">
                            <a:lumMod val="95000"/>
                          </a:schemeClr>
                        </a:solidFill>
                        <a:ln w="9525">
                          <a:solidFill>
                            <a:srgbClr val="000000"/>
                          </a:solidFill>
                          <a:miter lim="800000"/>
                          <a:headEnd/>
                          <a:tailEnd/>
                        </a:ln>
                      </wps:spPr>
                      <wps:txbx>
                        <w:txbxContent>
                          <w:p w:rsidR="007459FA" w:rsidRDefault="007459FA" w:rsidP="007459FA">
                            <w:pPr>
                              <w:pStyle w:val="Heading2"/>
                              <w:spacing w:before="83"/>
                              <w:rPr>
                                <w:sz w:val="19"/>
                              </w:rPr>
                            </w:pPr>
                            <w:r>
                              <w:t>Drug Interactions (consult SPC for full list)</w:t>
                            </w:r>
                          </w:p>
                          <w:p w:rsidR="007459FA" w:rsidRDefault="007459FA" w:rsidP="007459FA">
                            <w:pPr>
                              <w:pStyle w:val="BodyText"/>
                              <w:ind w:left="237"/>
                              <w:rPr>
                                <w:u w:val="single"/>
                              </w:rPr>
                            </w:pPr>
                          </w:p>
                          <w:p w:rsidR="007459FA" w:rsidRDefault="00447B75" w:rsidP="007459FA">
                            <w:pPr>
                              <w:pStyle w:val="BodyText"/>
                              <w:spacing w:before="7"/>
                              <w:ind w:left="237"/>
                            </w:pPr>
                            <w:r>
                              <w:t>Vortioxetine</w:t>
                            </w:r>
                            <w:r w:rsidR="007459FA" w:rsidRPr="00DB47A7">
                              <w:t xml:space="preserve"> is metabolised mainly by cytochrome P450 </w:t>
                            </w:r>
                            <w:r>
                              <w:t xml:space="preserve">2D6. </w:t>
                            </w:r>
                            <w:r w:rsidR="007459FA" w:rsidRPr="00DB47A7">
                              <w:t xml:space="preserve">Medicinal products that interact with these isoenzymes may decrease or increase the bioavailability of </w:t>
                            </w:r>
                            <w:r>
                              <w:t>vortioxetine</w:t>
                            </w:r>
                            <w:r w:rsidR="007459FA" w:rsidRPr="00DB47A7">
                              <w:t xml:space="preserve">. </w:t>
                            </w:r>
                          </w:p>
                          <w:p w:rsidR="00447B75" w:rsidRDefault="00447B75" w:rsidP="007459FA">
                            <w:pPr>
                              <w:pStyle w:val="BodyText"/>
                              <w:spacing w:before="7"/>
                              <w:ind w:left="237"/>
                            </w:pPr>
                          </w:p>
                          <w:p w:rsidR="00447B75" w:rsidRDefault="00447B75" w:rsidP="007459FA">
                            <w:pPr>
                              <w:pStyle w:val="BodyText"/>
                              <w:spacing w:before="7"/>
                              <w:ind w:left="237"/>
                            </w:pPr>
                            <w:r>
                              <w:t xml:space="preserve">The combination of vortioxetine with </w:t>
                            </w:r>
                            <w:r w:rsidRPr="00447B75">
                              <w:t>MAO-A inhibitor</w:t>
                            </w:r>
                            <w:r>
                              <w:t xml:space="preserve">s is contraindicated. </w:t>
                            </w:r>
                          </w:p>
                          <w:p w:rsidR="00447B75" w:rsidRDefault="00447B75" w:rsidP="007459FA">
                            <w:pPr>
                              <w:pStyle w:val="BodyText"/>
                              <w:spacing w:before="7"/>
                              <w:ind w:left="237"/>
                            </w:pPr>
                          </w:p>
                          <w:p w:rsidR="00447B75" w:rsidRDefault="00447B75" w:rsidP="007459FA">
                            <w:pPr>
                              <w:pStyle w:val="BodyText"/>
                              <w:spacing w:before="7"/>
                              <w:ind w:left="237"/>
                            </w:pPr>
                            <w:r w:rsidRPr="00447B75">
                              <w:t>Co-administration of medicinal products with serotonergic effect (e.g., tramadol, sumatriptan and other triptans) may lead to serotonin syndrome</w:t>
                            </w:r>
                          </w:p>
                          <w:p w:rsidR="00447B75" w:rsidRDefault="00447B75" w:rsidP="007459FA">
                            <w:pPr>
                              <w:pStyle w:val="BodyText"/>
                              <w:spacing w:before="7"/>
                              <w:ind w:left="237"/>
                            </w:pPr>
                          </w:p>
                          <w:p w:rsidR="00447B75" w:rsidRDefault="00447B75" w:rsidP="007459FA">
                            <w:pPr>
                              <w:pStyle w:val="BodyText"/>
                              <w:spacing w:before="7"/>
                              <w:ind w:left="237"/>
                            </w:pPr>
                            <w:r w:rsidRPr="00447B75">
                              <w:t>Concomitant use of antidepressants with serotonergic effect and herbal remedies containing St. John's wort (Hypericum perforatum) may result in a higher incidence of adverse reactions including Serotonin Syndrome</w:t>
                            </w:r>
                          </w:p>
                          <w:p w:rsidR="00447B75" w:rsidRDefault="00447B75" w:rsidP="007459FA">
                            <w:pPr>
                              <w:pStyle w:val="BodyText"/>
                              <w:spacing w:before="7"/>
                              <w:ind w:left="237"/>
                            </w:pPr>
                          </w:p>
                          <w:p w:rsidR="007459FA" w:rsidRDefault="00447B75" w:rsidP="00447B75">
                            <w:pPr>
                              <w:pStyle w:val="BodyText"/>
                              <w:spacing w:before="7"/>
                              <w:ind w:left="237"/>
                            </w:pPr>
                            <w:r w:rsidRPr="00447B75">
                              <w:t>Antidepressants with serotonergic effect can lower the seizure threshold. Caution is advised when concomitantly using other medicinal products capable of lowering the seizure threshold [e.g., antidepressants (tricyclics, SSRIs, SNRIs), neuroleptics (phenothiazines, thioxanthenes and butyrophenones), mefloquine, bupropion, tramadol</w:t>
                            </w:r>
                          </w:p>
                          <w:p w:rsidR="00E75A8D" w:rsidRDefault="00E75A8D" w:rsidP="00447B75">
                            <w:pPr>
                              <w:pStyle w:val="BodyText"/>
                              <w:spacing w:before="7"/>
                              <w:ind w:left="237"/>
                            </w:pPr>
                          </w:p>
                          <w:p w:rsidR="00E75A8D" w:rsidRPr="00DB47A7" w:rsidRDefault="00E75A8D" w:rsidP="00447B75">
                            <w:pPr>
                              <w:pStyle w:val="BodyText"/>
                              <w:spacing w:before="7"/>
                              <w:ind w:left="237"/>
                            </w:pPr>
                            <w:r>
                              <w:t>C</w:t>
                            </w:r>
                            <w:r w:rsidRPr="00E75A8D">
                              <w:t>aution should be exercised when vortioxetine is combined with oral anticoagulants or antiplatelet medicinal products due to a potential increased risk of bleeding attributable to a pharmacodynamic interaction</w:t>
                            </w:r>
                          </w:p>
                          <w:p w:rsidR="007459FA" w:rsidRPr="00DB47A7" w:rsidRDefault="007459FA" w:rsidP="007459FA">
                            <w:pPr>
                              <w:pStyle w:val="BodyText"/>
                              <w:spacing w:before="7"/>
                            </w:pPr>
                          </w:p>
                          <w:p w:rsidR="007459FA" w:rsidRDefault="00E75A8D" w:rsidP="00E75A8D">
                            <w:pPr>
                              <w:ind w:left="237"/>
                            </w:pPr>
                            <w:r w:rsidRPr="00E75A8D">
                              <w:rPr>
                                <w:rFonts w:ascii="Arial" w:eastAsia="Arial" w:hAnsi="Arial" w:cs="Arial"/>
                                <w:sz w:val="20"/>
                                <w:szCs w:val="20"/>
                                <w:lang w:eastAsia="en-GB" w:bidi="en-GB"/>
                              </w:rPr>
                              <w:t>No effect on the pharmacokinetics of vortioxetine or ethanol and no significant impairment, relative to placebo, in cognitive function were observed when vortioxetine in a single dose of 20 mg or 40 mg was co-administered with a single dose of ethanol (0.6 g/kg) in healthy subjects. However, alcohol intake is not advisable during antidepressant 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4E118" id="_x0000_s1029" type="#_x0000_t202" style="position:absolute;margin-left:0;margin-top:0;width:470.5pt;height:35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" fillcolor="#f2f2f2 [3052]">
                <v:textbox>
                  <w:txbxContent>
                    <w:p w:rsidR="007459FA" w:rsidRDefault="007459FA" w:rsidP="007459FA">
                      <w:pPr>
                        <w:pStyle w:val="Heading2"/>
                        <w:spacing w:before="83"/>
                        <w:rPr>
                          <w:sz w:val="19"/>
                        </w:rPr>
                      </w:pPr>
                      <w:r>
                        <w:t>Drug Interactions (consult SPC for full list)</w:t>
                      </w:r>
                    </w:p>
                    <w:p w:rsidR="007459FA" w:rsidRDefault="007459FA" w:rsidP="007459FA">
                      <w:pPr>
                        <w:pStyle w:val="BodyText"/>
                        <w:ind w:left="237"/>
                        <w:rPr>
                          <w:u w:val="single"/>
                        </w:rPr>
                      </w:pPr>
                    </w:p>
                    <w:p w:rsidR="007459FA" w:rsidRDefault="00447B75" w:rsidP="007459FA">
                      <w:pPr>
                        <w:pStyle w:val="BodyText"/>
                        <w:spacing w:before="7"/>
                        <w:ind w:left="237"/>
                      </w:pPr>
                      <w:r>
                        <w:t>Vortioxetine</w:t>
                      </w:r>
                      <w:r w:rsidR="007459FA" w:rsidRPr="00DB47A7">
                        <w:t xml:space="preserve"> is metabolised mainly by cytochrome P450 </w:t>
                      </w:r>
                      <w:r>
                        <w:t xml:space="preserve">2D6. </w:t>
                      </w:r>
                      <w:r w:rsidR="007459FA" w:rsidRPr="00DB47A7">
                        <w:t xml:space="preserve">Medicinal products that interact with these isoenzymes may decrease or increase the bioavailability of </w:t>
                      </w:r>
                      <w:r>
                        <w:t>vortioxetine</w:t>
                      </w:r>
                      <w:r w:rsidR="007459FA" w:rsidRPr="00DB47A7">
                        <w:t xml:space="preserve">. </w:t>
                      </w:r>
                    </w:p>
                    <w:p w:rsidR="00447B75" w:rsidRDefault="00447B75" w:rsidP="007459FA">
                      <w:pPr>
                        <w:pStyle w:val="BodyText"/>
                        <w:spacing w:before="7"/>
                        <w:ind w:left="237"/>
                      </w:pPr>
                    </w:p>
                    <w:p w:rsidR="00447B75" w:rsidRDefault="00447B75" w:rsidP="007459FA">
                      <w:pPr>
                        <w:pStyle w:val="BodyText"/>
                        <w:spacing w:before="7"/>
                        <w:ind w:left="237"/>
                      </w:pPr>
                      <w:r>
                        <w:t xml:space="preserve">The combination of vortioxetine with </w:t>
                      </w:r>
                      <w:r w:rsidRPr="00447B75">
                        <w:t>MAO-A inhibitor</w:t>
                      </w:r>
                      <w:r>
                        <w:t xml:space="preserve">s is contraindicated. </w:t>
                      </w:r>
                    </w:p>
                    <w:p w:rsidR="00447B75" w:rsidRDefault="00447B75" w:rsidP="007459FA">
                      <w:pPr>
                        <w:pStyle w:val="BodyText"/>
                        <w:spacing w:before="7"/>
                        <w:ind w:left="237"/>
                      </w:pPr>
                    </w:p>
                    <w:p w:rsidR="00447B75" w:rsidRDefault="00447B75" w:rsidP="007459FA">
                      <w:pPr>
                        <w:pStyle w:val="BodyText"/>
                        <w:spacing w:before="7"/>
                        <w:ind w:left="237"/>
                      </w:pPr>
                      <w:r w:rsidRPr="00447B75">
                        <w:t>Co-administration of medicinal products with serotonergic effect (e.g., tramadol, sumatriptan and other triptans) may lead to serotonin syndrome</w:t>
                      </w:r>
                    </w:p>
                    <w:p w:rsidR="00447B75" w:rsidRDefault="00447B75" w:rsidP="007459FA">
                      <w:pPr>
                        <w:pStyle w:val="BodyText"/>
                        <w:spacing w:before="7"/>
                        <w:ind w:left="237"/>
                      </w:pPr>
                    </w:p>
                    <w:p w:rsidR="00447B75" w:rsidRDefault="00447B75" w:rsidP="007459FA">
                      <w:pPr>
                        <w:pStyle w:val="BodyText"/>
                        <w:spacing w:before="7"/>
                        <w:ind w:left="237"/>
                      </w:pPr>
                      <w:r w:rsidRPr="00447B75">
                        <w:t xml:space="preserve">Concomitant use of antidepressants with serotonergic effect and herbal remedies containing St. John's wort (Hypericum </w:t>
                      </w:r>
                      <w:proofErr w:type="spellStart"/>
                      <w:r w:rsidRPr="00447B75">
                        <w:t>perforatum</w:t>
                      </w:r>
                      <w:proofErr w:type="spellEnd"/>
                      <w:r w:rsidRPr="00447B75">
                        <w:t>) may result in a higher incidence of adverse reactions including Serotonin Syndrome</w:t>
                      </w:r>
                    </w:p>
                    <w:p w:rsidR="00447B75" w:rsidRDefault="00447B75" w:rsidP="007459FA">
                      <w:pPr>
                        <w:pStyle w:val="BodyText"/>
                        <w:spacing w:before="7"/>
                        <w:ind w:left="237"/>
                      </w:pPr>
                    </w:p>
                    <w:p w:rsidR="007459FA" w:rsidRDefault="00447B75" w:rsidP="00447B75">
                      <w:pPr>
                        <w:pStyle w:val="BodyText"/>
                        <w:spacing w:before="7"/>
                        <w:ind w:left="237"/>
                      </w:pPr>
                      <w:r w:rsidRPr="00447B75">
                        <w:t xml:space="preserve">Antidepressants with serotonergic effect can lower the seizure threshold. Caution is advised when concomitantly using other medicinal products capable of lowering the seizure threshold [e.g., antidepressants (tricyclics, SSRIs, SNRIs), neuroleptics (phenothiazines, </w:t>
                      </w:r>
                      <w:proofErr w:type="spellStart"/>
                      <w:r w:rsidRPr="00447B75">
                        <w:t>thioxanthenes</w:t>
                      </w:r>
                      <w:proofErr w:type="spellEnd"/>
                      <w:r w:rsidRPr="00447B75">
                        <w:t xml:space="preserve"> and butyrophenones), mefloquine, bupropion, tramadol</w:t>
                      </w:r>
                    </w:p>
                    <w:p w:rsidR="00E75A8D" w:rsidRDefault="00E75A8D" w:rsidP="00447B75">
                      <w:pPr>
                        <w:pStyle w:val="BodyText"/>
                        <w:spacing w:before="7"/>
                        <w:ind w:left="237"/>
                      </w:pPr>
                    </w:p>
                    <w:p w:rsidR="00E75A8D" w:rsidRPr="00DB47A7" w:rsidRDefault="00E75A8D" w:rsidP="00447B75">
                      <w:pPr>
                        <w:pStyle w:val="BodyText"/>
                        <w:spacing w:before="7"/>
                        <w:ind w:left="237"/>
                      </w:pPr>
                      <w:r>
                        <w:t>C</w:t>
                      </w:r>
                      <w:r w:rsidRPr="00E75A8D">
                        <w:t>aution should be exercised when vortioxetine is combined with oral anticoagulants or antiplatelet medicinal products due to a potential increased risk of bleeding attributable to a pharmacodynamic interaction</w:t>
                      </w:r>
                    </w:p>
                    <w:p w:rsidR="007459FA" w:rsidRPr="00DB47A7" w:rsidRDefault="007459FA" w:rsidP="007459FA">
                      <w:pPr>
                        <w:pStyle w:val="BodyText"/>
                        <w:spacing w:before="7"/>
                      </w:pPr>
                    </w:p>
                    <w:p w:rsidR="007459FA" w:rsidRDefault="00E75A8D" w:rsidP="00E75A8D">
                      <w:pPr>
                        <w:ind w:left="237"/>
                      </w:pPr>
                      <w:r w:rsidRPr="00E75A8D">
                        <w:rPr>
                          <w:rFonts w:ascii="Arial" w:eastAsia="Arial" w:hAnsi="Arial" w:cs="Arial"/>
                          <w:sz w:val="20"/>
                          <w:szCs w:val="20"/>
                          <w:lang w:eastAsia="en-GB" w:bidi="en-GB"/>
                        </w:rPr>
                        <w:t>No effect on the pharmacokinetics of vortioxetine or ethanol and no significant impairment, relative to placebo, in cognitive function were observed when vortioxetine in a single dose of 20 mg or 40 mg was co-administered with a single dose of ethanol (0.6 g/kg) in healthy subjects. However, alcohol intake is not advisable during antidepressant treatment.</w:t>
                      </w:r>
                    </w:p>
                  </w:txbxContent>
                </v:textbox>
              </v:shape>
            </w:pict>
          </mc:Fallback>
        </mc:AlternateContent>
      </w: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E75A8D">
      <w:pPr>
        <w:rPr>
          <w:rFonts w:ascii="Arial" w:hAnsi="Arial" w:cs="Arial"/>
          <w:b/>
          <w:sz w:val="20"/>
          <w:szCs w:val="20"/>
        </w:rPr>
      </w:pPr>
      <w:r w:rsidRPr="00324370">
        <w:rPr>
          <w:rFonts w:ascii="Arial" w:hAnsi="Arial" w:cs="Arial"/>
          <w:b/>
          <w:noProof/>
          <w:sz w:val="20"/>
          <w:szCs w:val="20"/>
          <w:lang w:eastAsia="en-GB"/>
        </w:rPr>
        <mc:AlternateContent>
          <mc:Choice Requires="wps">
            <w:drawing>
              <wp:anchor distT="0" distB="0" distL="114300" distR="114300" simplePos="0" relativeHeight="251671552" behindDoc="0" locked="0" layoutInCell="1" allowOverlap="1" wp14:anchorId="0624E11A" wp14:editId="0624E11B">
                <wp:simplePos x="0" y="0"/>
                <wp:positionH relativeFrom="column">
                  <wp:posOffset>-177800</wp:posOffset>
                </wp:positionH>
                <wp:positionV relativeFrom="paragraph">
                  <wp:posOffset>229870</wp:posOffset>
                </wp:positionV>
                <wp:extent cx="6015355" cy="1403985"/>
                <wp:effectExtent l="0" t="0" r="2349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1403985"/>
                        </a:xfrm>
                        <a:prstGeom prst="rect">
                          <a:avLst/>
                        </a:prstGeom>
                        <a:solidFill>
                          <a:schemeClr val="bg1">
                            <a:lumMod val="95000"/>
                          </a:schemeClr>
                        </a:solidFill>
                        <a:ln w="9525">
                          <a:solidFill>
                            <a:srgbClr val="000000"/>
                          </a:solidFill>
                          <a:miter lim="800000"/>
                          <a:headEnd/>
                          <a:tailEnd/>
                        </a:ln>
                      </wps:spPr>
                      <wps:txbx>
                        <w:txbxContent>
                          <w:p w:rsidR="00324370" w:rsidRPr="00324370" w:rsidRDefault="00324370" w:rsidP="00324370">
                            <w:pPr>
                              <w:rPr>
                                <w:rFonts w:ascii="Arial" w:hAnsi="Arial" w:cs="Arial"/>
                                <w:b/>
                              </w:rPr>
                            </w:pPr>
                            <w:r w:rsidRPr="00324370">
                              <w:rPr>
                                <w:rFonts w:ascii="Arial" w:hAnsi="Arial" w:cs="Arial"/>
                                <w:b/>
                              </w:rPr>
                              <w:t>Contact details of Specialist team</w:t>
                            </w:r>
                          </w:p>
                          <w:p w:rsidR="00324370" w:rsidRPr="00324370" w:rsidRDefault="00324370" w:rsidP="00324370">
                            <w:pPr>
                              <w:rPr>
                                <w:rFonts w:ascii="Arial" w:hAnsi="Arial" w:cs="Arial"/>
                                <w:sz w:val="20"/>
                                <w:szCs w:val="20"/>
                              </w:rPr>
                            </w:pPr>
                            <w:r w:rsidRPr="00324370">
                              <w:rPr>
                                <w:rFonts w:ascii="Arial" w:hAnsi="Arial" w:cs="Arial"/>
                                <w:sz w:val="20"/>
                                <w:szCs w:val="20"/>
                              </w:rPr>
                              <w:t>Pharmacy Department, KMPT</w:t>
                            </w:r>
                          </w:p>
                          <w:p w:rsidR="00324370" w:rsidRPr="00324370" w:rsidRDefault="00324370" w:rsidP="00324370">
                            <w:pPr>
                              <w:rPr>
                                <w:rFonts w:ascii="Arial" w:hAnsi="Arial" w:cs="Arial"/>
                                <w:sz w:val="20"/>
                                <w:szCs w:val="20"/>
                              </w:rPr>
                            </w:pPr>
                            <w:r w:rsidRPr="00324370">
                              <w:rPr>
                                <w:rFonts w:ascii="Arial" w:hAnsi="Arial" w:cs="Arial"/>
                                <w:sz w:val="20"/>
                                <w:szCs w:val="20"/>
                              </w:rPr>
                              <w:t>Tel: 01227 812193</w:t>
                            </w:r>
                          </w:p>
                          <w:p w:rsidR="00324370" w:rsidRPr="007F0CCE" w:rsidRDefault="007F0CCE" w:rsidP="007F0CCE">
                            <w:pPr>
                              <w:rPr>
                                <w:rFonts w:ascii="Arial" w:hAnsi="Arial" w:cs="Arial"/>
                                <w:color w:val="1F497D"/>
                                <w:sz w:val="20"/>
                                <w:szCs w:val="20"/>
                              </w:rPr>
                            </w:pPr>
                            <w:r>
                              <w:rPr>
                                <w:rFonts w:ascii="Arial" w:hAnsi="Arial" w:cs="Arial"/>
                                <w:sz w:val="20"/>
                                <w:szCs w:val="20"/>
                              </w:rPr>
                              <w:t xml:space="preserve">Email: </w:t>
                            </w:r>
                            <w:hyperlink r:id="rId8" w:history="1">
                              <w:r>
                                <w:rPr>
                                  <w:rStyle w:val="Hyperlink"/>
                                  <w:rFonts w:ascii="Arial" w:hAnsi="Arial" w:cs="Arial"/>
                                  <w:sz w:val="20"/>
                                  <w:szCs w:val="20"/>
                                </w:rPr>
                                <w:t>kmpt.pharmacy.eastkent@nhs.net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4E11A" id="_x0000_s1030" type="#_x0000_t202" style="position:absolute;margin-left:-14pt;margin-top:18.1pt;width:473.6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" fillcolor="#f2f2f2 [3052]">
                <v:textbox style="mso-fit-shape-to-text:t">
                  <w:txbxContent>
                    <w:p w:rsidR="00324370" w:rsidRPr="00324370" w:rsidRDefault="00324370" w:rsidP="00324370">
                      <w:pPr>
                        <w:rPr>
                          <w:rFonts w:ascii="Arial" w:hAnsi="Arial" w:cs="Arial"/>
                          <w:b/>
                        </w:rPr>
                      </w:pPr>
                      <w:r w:rsidRPr="00324370">
                        <w:rPr>
                          <w:rFonts w:ascii="Arial" w:hAnsi="Arial" w:cs="Arial"/>
                          <w:b/>
                        </w:rPr>
                        <w:t>Contact details of Specialist team</w:t>
                      </w:r>
                    </w:p>
                    <w:p w:rsidR="00324370" w:rsidRPr="00324370" w:rsidRDefault="00324370" w:rsidP="00324370">
                      <w:pPr>
                        <w:rPr>
                          <w:rFonts w:ascii="Arial" w:hAnsi="Arial" w:cs="Arial"/>
                          <w:sz w:val="20"/>
                          <w:szCs w:val="20"/>
                        </w:rPr>
                      </w:pPr>
                      <w:r w:rsidRPr="00324370">
                        <w:rPr>
                          <w:rFonts w:ascii="Arial" w:hAnsi="Arial" w:cs="Arial"/>
                          <w:sz w:val="20"/>
                          <w:szCs w:val="20"/>
                        </w:rPr>
                        <w:t>Pharmacy Department, KMPT</w:t>
                      </w:r>
                    </w:p>
                    <w:p w:rsidR="00324370" w:rsidRPr="00324370" w:rsidRDefault="00324370" w:rsidP="00324370">
                      <w:pPr>
                        <w:rPr>
                          <w:rFonts w:ascii="Arial" w:hAnsi="Arial" w:cs="Arial"/>
                          <w:sz w:val="20"/>
                          <w:szCs w:val="20"/>
                        </w:rPr>
                      </w:pPr>
                      <w:r w:rsidRPr="00324370">
                        <w:rPr>
                          <w:rFonts w:ascii="Arial" w:hAnsi="Arial" w:cs="Arial"/>
                          <w:sz w:val="20"/>
                          <w:szCs w:val="20"/>
                        </w:rPr>
                        <w:t>Tel: 01227 812193</w:t>
                      </w:r>
                    </w:p>
                    <w:p w:rsidR="00324370" w:rsidRPr="007F0CCE" w:rsidRDefault="007F0CCE" w:rsidP="007F0CCE">
                      <w:pPr>
                        <w:rPr>
                          <w:rFonts w:ascii="Arial" w:hAnsi="Arial" w:cs="Arial"/>
                          <w:color w:val="1F497D"/>
                          <w:sz w:val="20"/>
                          <w:szCs w:val="20"/>
                        </w:rPr>
                      </w:pPr>
                      <w:r>
                        <w:rPr>
                          <w:rFonts w:ascii="Arial" w:hAnsi="Arial" w:cs="Arial"/>
                          <w:sz w:val="20"/>
                          <w:szCs w:val="20"/>
                        </w:rPr>
                        <w:t xml:space="preserve">Email: </w:t>
                      </w:r>
                      <w:hyperlink r:id="rId9" w:history="1">
                        <w:r>
                          <w:rPr>
                            <w:rStyle w:val="Hyperlink"/>
                            <w:rFonts w:ascii="Arial" w:hAnsi="Arial" w:cs="Arial"/>
                            <w:sz w:val="20"/>
                            <w:szCs w:val="20"/>
                          </w:rPr>
                          <w:t>kmpt.pharmacy.eastkent@nhs.net</w:t>
                        </w:r>
                      </w:hyperlink>
                    </w:p>
                  </w:txbxContent>
                </v:textbox>
              </v:shape>
            </w:pict>
          </mc:Fallback>
        </mc:AlternateContent>
      </w: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p w:rsidR="007459FA" w:rsidRDefault="007459FA">
      <w:pPr>
        <w:rPr>
          <w:rFonts w:ascii="Arial" w:hAnsi="Arial" w:cs="Arial"/>
          <w:b/>
          <w:sz w:val="20"/>
          <w:szCs w:val="20"/>
        </w:rPr>
      </w:pPr>
    </w:p>
    <w:sectPr w:rsidR="007459FA" w:rsidSect="00F3712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02B" w:rsidRDefault="007F502B" w:rsidP="00F37122">
      <w:pPr>
        <w:spacing w:after="0" w:line="240" w:lineRule="auto"/>
      </w:pPr>
      <w:r>
        <w:separator/>
      </w:r>
    </w:p>
  </w:endnote>
  <w:endnote w:type="continuationSeparator" w:id="0">
    <w:p w:rsidR="007F502B" w:rsidRDefault="007F502B" w:rsidP="00F3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1C" w:rsidRDefault="00627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22" w:rsidRDefault="00F37122" w:rsidP="00F37122">
    <w:pPr>
      <w:pStyle w:val="Footer"/>
      <w:rPr>
        <w:rFonts w:ascii="Arial" w:hAnsi="Arial" w:cs="Arial"/>
        <w:sz w:val="18"/>
        <w:szCs w:val="18"/>
      </w:rPr>
    </w:pPr>
    <w:r w:rsidRPr="00F37122">
      <w:rPr>
        <w:rFonts w:ascii="Arial" w:hAnsi="Arial" w:cs="Arial"/>
        <w:sz w:val="18"/>
        <w:szCs w:val="18"/>
      </w:rPr>
      <w:t xml:space="preserve">Approved by: East Kent Prescribing Group (Representing Ashford CCG, </w:t>
    </w:r>
  </w:p>
  <w:p w:rsidR="00F37122" w:rsidRPr="00F37122" w:rsidRDefault="00F37122" w:rsidP="00F37122">
    <w:pPr>
      <w:pStyle w:val="Footer"/>
      <w:rPr>
        <w:rFonts w:ascii="Arial" w:hAnsi="Arial" w:cs="Arial"/>
        <w:sz w:val="18"/>
        <w:szCs w:val="18"/>
      </w:rPr>
    </w:pPr>
    <w:r w:rsidRPr="00F37122">
      <w:rPr>
        <w:rFonts w:ascii="Arial" w:hAnsi="Arial" w:cs="Arial"/>
        <w:sz w:val="18"/>
        <w:szCs w:val="18"/>
      </w:rPr>
      <w:t>Canterbury and Coastal CCG, South Kent Coast CCG and Thanet CCG)</w:t>
    </w:r>
  </w:p>
  <w:p w:rsidR="00F37122" w:rsidRPr="0062751C" w:rsidRDefault="00F37122" w:rsidP="00F37122">
    <w:pPr>
      <w:pStyle w:val="Footer"/>
      <w:rPr>
        <w:rFonts w:ascii="Arial" w:hAnsi="Arial" w:cs="Arial"/>
        <w:color w:val="FF0000"/>
        <w:sz w:val="18"/>
        <w:szCs w:val="18"/>
      </w:rPr>
    </w:pPr>
    <w:r w:rsidRPr="00F37122">
      <w:rPr>
        <w:rFonts w:ascii="Arial" w:hAnsi="Arial" w:cs="Arial"/>
        <w:sz w:val="18"/>
        <w:szCs w:val="18"/>
      </w:rPr>
      <w:t>Date: February 2019</w:t>
    </w:r>
    <w:r w:rsidR="0062751C">
      <w:rPr>
        <w:rFonts w:ascii="Arial" w:hAnsi="Arial" w:cs="Arial"/>
        <w:sz w:val="18"/>
        <w:szCs w:val="18"/>
      </w:rPr>
      <w:t xml:space="preserve"> </w:t>
    </w:r>
    <w:r w:rsidR="0062751C">
      <w:rPr>
        <w:rFonts w:ascii="Arial" w:hAnsi="Arial" w:cs="Arial"/>
        <w:color w:val="FF0000"/>
        <w:sz w:val="18"/>
        <w:szCs w:val="18"/>
      </w:rPr>
      <w:t>correction to presentation strength December 2020</w:t>
    </w:r>
    <w:bookmarkStart w:id="0" w:name="_GoBack"/>
    <w:bookmarkEnd w:id="0"/>
  </w:p>
  <w:p w:rsidR="00F37122" w:rsidRPr="00F37122" w:rsidRDefault="00F37122" w:rsidP="00F37122">
    <w:pPr>
      <w:pStyle w:val="Footer"/>
      <w:rPr>
        <w:rFonts w:ascii="Arial" w:hAnsi="Arial" w:cs="Arial"/>
        <w:sz w:val="18"/>
        <w:szCs w:val="18"/>
      </w:rPr>
    </w:pPr>
    <w:r w:rsidRPr="00F37122">
      <w:rPr>
        <w:rFonts w:ascii="Arial" w:hAnsi="Arial" w:cs="Arial"/>
        <w:sz w:val="18"/>
        <w:szCs w:val="18"/>
      </w:rPr>
      <w:t>Address: c/o Canterbury and Coastal CCG, Council Offices, Military Road, Canterbury, CT1 1YW</w:t>
    </w:r>
    <w:r>
      <w:rPr>
        <w:rFonts w:ascii="Arial" w:hAnsi="Arial" w:cs="Arial"/>
        <w:sz w:val="18"/>
        <w:szCs w:val="18"/>
      </w:rPr>
      <w:tab/>
    </w:r>
    <w:r>
      <w:rPr>
        <w:rFonts w:ascii="Arial" w:hAnsi="Arial" w:cs="Arial"/>
        <w:sz w:val="18"/>
        <w:szCs w:val="18"/>
      </w:rPr>
      <w:tab/>
    </w:r>
    <w:r w:rsidRPr="00F37122">
      <w:rPr>
        <w:rFonts w:ascii="Arial" w:hAnsi="Arial" w:cs="Arial"/>
        <w:sz w:val="18"/>
        <w:szCs w:val="18"/>
      </w:rPr>
      <w:t xml:space="preserve">Page </w:t>
    </w:r>
    <w:r w:rsidRPr="00F37122">
      <w:rPr>
        <w:rFonts w:ascii="Arial" w:hAnsi="Arial" w:cs="Arial"/>
        <w:b/>
        <w:sz w:val="18"/>
        <w:szCs w:val="18"/>
      </w:rPr>
      <w:fldChar w:fldCharType="begin"/>
    </w:r>
    <w:r w:rsidRPr="00F37122">
      <w:rPr>
        <w:rFonts w:ascii="Arial" w:hAnsi="Arial" w:cs="Arial"/>
        <w:b/>
        <w:sz w:val="18"/>
        <w:szCs w:val="18"/>
      </w:rPr>
      <w:instrText xml:space="preserve"> PAGE  \* Arabic  \* MERGEFORMAT </w:instrText>
    </w:r>
    <w:r w:rsidRPr="00F37122">
      <w:rPr>
        <w:rFonts w:ascii="Arial" w:hAnsi="Arial" w:cs="Arial"/>
        <w:b/>
        <w:sz w:val="18"/>
        <w:szCs w:val="18"/>
      </w:rPr>
      <w:fldChar w:fldCharType="separate"/>
    </w:r>
    <w:r w:rsidR="0062751C">
      <w:rPr>
        <w:rFonts w:ascii="Arial" w:hAnsi="Arial" w:cs="Arial"/>
        <w:b/>
        <w:noProof/>
        <w:sz w:val="18"/>
        <w:szCs w:val="18"/>
      </w:rPr>
      <w:t>2</w:t>
    </w:r>
    <w:r w:rsidRPr="00F37122">
      <w:rPr>
        <w:rFonts w:ascii="Arial" w:hAnsi="Arial" w:cs="Arial"/>
        <w:b/>
        <w:sz w:val="18"/>
        <w:szCs w:val="18"/>
      </w:rPr>
      <w:fldChar w:fldCharType="end"/>
    </w:r>
    <w:r w:rsidRPr="00F37122">
      <w:rPr>
        <w:rFonts w:ascii="Arial" w:hAnsi="Arial" w:cs="Arial"/>
        <w:sz w:val="18"/>
        <w:szCs w:val="18"/>
      </w:rPr>
      <w:t xml:space="preserve"> of </w:t>
    </w:r>
    <w:r w:rsidRPr="00F37122">
      <w:rPr>
        <w:rFonts w:ascii="Arial" w:hAnsi="Arial" w:cs="Arial"/>
        <w:b/>
        <w:sz w:val="18"/>
        <w:szCs w:val="18"/>
      </w:rPr>
      <w:fldChar w:fldCharType="begin"/>
    </w:r>
    <w:r w:rsidRPr="00F37122">
      <w:rPr>
        <w:rFonts w:ascii="Arial" w:hAnsi="Arial" w:cs="Arial"/>
        <w:b/>
        <w:sz w:val="18"/>
        <w:szCs w:val="18"/>
      </w:rPr>
      <w:instrText xml:space="preserve"> NUMPAGES  \* Arabic  \* MERGEFORMAT </w:instrText>
    </w:r>
    <w:r w:rsidRPr="00F37122">
      <w:rPr>
        <w:rFonts w:ascii="Arial" w:hAnsi="Arial" w:cs="Arial"/>
        <w:b/>
        <w:sz w:val="18"/>
        <w:szCs w:val="18"/>
      </w:rPr>
      <w:fldChar w:fldCharType="separate"/>
    </w:r>
    <w:r w:rsidR="0062751C">
      <w:rPr>
        <w:rFonts w:ascii="Arial" w:hAnsi="Arial" w:cs="Arial"/>
        <w:b/>
        <w:noProof/>
        <w:sz w:val="18"/>
        <w:szCs w:val="18"/>
      </w:rPr>
      <w:t>3</w:t>
    </w:r>
    <w:r w:rsidRPr="00F37122">
      <w:rPr>
        <w:rFonts w:ascii="Arial" w:hAnsi="Arial" w:cs="Arial"/>
        <w:b/>
        <w:sz w:val="18"/>
        <w:szCs w:val="18"/>
      </w:rPr>
      <w:fldChar w:fldCharType="end"/>
    </w:r>
  </w:p>
  <w:p w:rsidR="00F37122" w:rsidRPr="00F37122" w:rsidRDefault="00F37122" w:rsidP="00F37122">
    <w:pPr>
      <w:spacing w:before="14"/>
      <w:rPr>
        <w:sz w:val="18"/>
      </w:rPr>
    </w:pPr>
    <w:r w:rsidRPr="00F37122">
      <w:rPr>
        <w:rFonts w:ascii="Arial" w:hAnsi="Arial" w:cs="Arial"/>
        <w:b/>
        <w:color w:val="333333"/>
        <w:sz w:val="18"/>
        <w:szCs w:val="18"/>
      </w:rPr>
      <w:t xml:space="preserve">Contact: </w:t>
    </w:r>
    <w:r w:rsidRPr="00F37122">
      <w:rPr>
        <w:rFonts w:ascii="Arial" w:hAnsi="Arial" w:cs="Arial"/>
        <w:color w:val="333333"/>
        <w:sz w:val="18"/>
        <w:szCs w:val="18"/>
      </w:rPr>
      <w:t xml:space="preserve">T: 01227 791359 | E: </w:t>
    </w:r>
    <w:r w:rsidRPr="00F37122">
      <w:rPr>
        <w:rFonts w:ascii="Arial" w:hAnsi="Arial" w:cs="Arial"/>
        <w:color w:val="0000FF"/>
        <w:sz w:val="18"/>
        <w:szCs w:val="18"/>
        <w:u w:val="single" w:color="0000FF"/>
      </w:rPr>
      <w:t>accg.eastkent.prescribing@nhs.net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1C" w:rsidRDefault="00627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02B" w:rsidRDefault="007F502B" w:rsidP="00F37122">
      <w:pPr>
        <w:spacing w:after="0" w:line="240" w:lineRule="auto"/>
      </w:pPr>
      <w:r>
        <w:separator/>
      </w:r>
    </w:p>
  </w:footnote>
  <w:footnote w:type="continuationSeparator" w:id="0">
    <w:p w:rsidR="007F502B" w:rsidRDefault="007F502B" w:rsidP="00F37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1C" w:rsidRDefault="00627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122" w:rsidRPr="00F37122" w:rsidRDefault="00F37122" w:rsidP="00F37122">
    <w:pPr>
      <w:spacing w:before="7"/>
      <w:ind w:left="20"/>
      <w:rPr>
        <w:i/>
        <w:sz w:val="40"/>
      </w:rPr>
    </w:pPr>
    <w:r>
      <w:rPr>
        <w:noProof/>
        <w:lang w:eastAsia="en-GB"/>
      </w:rPr>
      <w:drawing>
        <wp:anchor distT="0" distB="0" distL="0" distR="0" simplePos="0" relativeHeight="251659264" behindDoc="1" locked="0" layoutInCell="1" allowOverlap="1" wp14:anchorId="0624E126" wp14:editId="0624E127">
          <wp:simplePos x="0" y="0"/>
          <wp:positionH relativeFrom="page">
            <wp:posOffset>5951855</wp:posOffset>
          </wp:positionH>
          <wp:positionV relativeFrom="page">
            <wp:posOffset>408940</wp:posOffset>
          </wp:positionV>
          <wp:extent cx="1075690" cy="438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5690" cy="438150"/>
                  </a:xfrm>
                  <a:prstGeom prst="rect">
                    <a:avLst/>
                  </a:prstGeom>
                </pic:spPr>
              </pic:pic>
            </a:graphicData>
          </a:graphic>
        </wp:anchor>
      </w:drawing>
    </w:r>
    <w:r>
      <w:rPr>
        <w:i/>
        <w:sz w:val="40"/>
      </w:rPr>
      <w:t>East Kent Prescribing Group</w:t>
    </w:r>
    <w:r>
      <w:rPr>
        <w:i/>
        <w:sz w:val="40"/>
      </w:rPr>
      <w:tab/>
    </w:r>
    <w:r>
      <w:rPr>
        <w:i/>
        <w:sz w:val="40"/>
      </w:rPr>
      <w:tab/>
    </w:r>
    <w:r>
      <w:rPr>
        <w:i/>
        <w:sz w:val="40"/>
      </w:rPr>
      <w:tab/>
    </w:r>
    <w:r>
      <w:rPr>
        <w:i/>
        <w:sz w:val="4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1C" w:rsidRDefault="00627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22"/>
    <w:rsid w:val="000343FD"/>
    <w:rsid w:val="00177C38"/>
    <w:rsid w:val="00197D6D"/>
    <w:rsid w:val="00202C80"/>
    <w:rsid w:val="002A5A1E"/>
    <w:rsid w:val="00324370"/>
    <w:rsid w:val="00417D46"/>
    <w:rsid w:val="00447B75"/>
    <w:rsid w:val="00484440"/>
    <w:rsid w:val="0062751C"/>
    <w:rsid w:val="006430BD"/>
    <w:rsid w:val="00697EC2"/>
    <w:rsid w:val="007459FA"/>
    <w:rsid w:val="007F0CCE"/>
    <w:rsid w:val="007F502B"/>
    <w:rsid w:val="008310A8"/>
    <w:rsid w:val="009A4F86"/>
    <w:rsid w:val="00A1199D"/>
    <w:rsid w:val="00A35F17"/>
    <w:rsid w:val="00AB57AE"/>
    <w:rsid w:val="00D03BF4"/>
    <w:rsid w:val="00E75A8D"/>
    <w:rsid w:val="00F02853"/>
    <w:rsid w:val="00F37122"/>
    <w:rsid w:val="00F774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9A4F86"/>
    <w:pPr>
      <w:widowControl w:val="0"/>
      <w:autoSpaceDE w:val="0"/>
      <w:autoSpaceDN w:val="0"/>
      <w:spacing w:after="0" w:line="240" w:lineRule="auto"/>
      <w:ind w:left="237"/>
      <w:outlineLvl w:val="1"/>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22"/>
  </w:style>
  <w:style w:type="paragraph" w:styleId="Footer">
    <w:name w:val="footer"/>
    <w:basedOn w:val="Normal"/>
    <w:link w:val="FooterChar"/>
    <w:uiPriority w:val="99"/>
    <w:unhideWhenUsed/>
    <w:rsid w:val="00F37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22"/>
  </w:style>
  <w:style w:type="paragraph" w:styleId="BalloonText">
    <w:name w:val="Balloon Text"/>
    <w:basedOn w:val="Normal"/>
    <w:link w:val="BalloonTextChar"/>
    <w:uiPriority w:val="99"/>
    <w:semiHidden/>
    <w:unhideWhenUsed/>
    <w:rsid w:val="009A4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F86"/>
    <w:rPr>
      <w:rFonts w:ascii="Tahoma" w:hAnsi="Tahoma" w:cs="Tahoma"/>
      <w:sz w:val="16"/>
      <w:szCs w:val="16"/>
    </w:rPr>
  </w:style>
  <w:style w:type="character" w:customStyle="1" w:styleId="Heading2Char">
    <w:name w:val="Heading 2 Char"/>
    <w:basedOn w:val="DefaultParagraphFont"/>
    <w:link w:val="Heading2"/>
    <w:uiPriority w:val="1"/>
    <w:rsid w:val="009A4F86"/>
    <w:rPr>
      <w:rFonts w:ascii="Arial" w:eastAsia="Arial" w:hAnsi="Arial" w:cs="Arial"/>
      <w:b/>
      <w:bCs/>
      <w:lang w:eastAsia="en-GB" w:bidi="en-GB"/>
    </w:rPr>
  </w:style>
  <w:style w:type="paragraph" w:styleId="BodyText">
    <w:name w:val="Body Text"/>
    <w:basedOn w:val="Normal"/>
    <w:link w:val="BodyTextChar"/>
    <w:uiPriority w:val="1"/>
    <w:qFormat/>
    <w:rsid w:val="009A4F86"/>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9A4F86"/>
    <w:rPr>
      <w:rFonts w:ascii="Arial" w:eastAsia="Arial" w:hAnsi="Arial" w:cs="Arial"/>
      <w:sz w:val="20"/>
      <w:szCs w:val="20"/>
      <w:lang w:eastAsia="en-GB" w:bidi="en-GB"/>
    </w:rPr>
  </w:style>
  <w:style w:type="character" w:styleId="Hyperlink">
    <w:name w:val="Hyperlink"/>
    <w:basedOn w:val="DefaultParagraphFont"/>
    <w:uiPriority w:val="99"/>
    <w:semiHidden/>
    <w:unhideWhenUsed/>
    <w:rsid w:val="007F0C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9A4F86"/>
    <w:pPr>
      <w:widowControl w:val="0"/>
      <w:autoSpaceDE w:val="0"/>
      <w:autoSpaceDN w:val="0"/>
      <w:spacing w:after="0" w:line="240" w:lineRule="auto"/>
      <w:ind w:left="237"/>
      <w:outlineLvl w:val="1"/>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122"/>
  </w:style>
  <w:style w:type="paragraph" w:styleId="Footer">
    <w:name w:val="footer"/>
    <w:basedOn w:val="Normal"/>
    <w:link w:val="FooterChar"/>
    <w:uiPriority w:val="99"/>
    <w:unhideWhenUsed/>
    <w:rsid w:val="00F37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122"/>
  </w:style>
  <w:style w:type="paragraph" w:styleId="BalloonText">
    <w:name w:val="Balloon Text"/>
    <w:basedOn w:val="Normal"/>
    <w:link w:val="BalloonTextChar"/>
    <w:uiPriority w:val="99"/>
    <w:semiHidden/>
    <w:unhideWhenUsed/>
    <w:rsid w:val="009A4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F86"/>
    <w:rPr>
      <w:rFonts w:ascii="Tahoma" w:hAnsi="Tahoma" w:cs="Tahoma"/>
      <w:sz w:val="16"/>
      <w:szCs w:val="16"/>
    </w:rPr>
  </w:style>
  <w:style w:type="character" w:customStyle="1" w:styleId="Heading2Char">
    <w:name w:val="Heading 2 Char"/>
    <w:basedOn w:val="DefaultParagraphFont"/>
    <w:link w:val="Heading2"/>
    <w:uiPriority w:val="1"/>
    <w:rsid w:val="009A4F86"/>
    <w:rPr>
      <w:rFonts w:ascii="Arial" w:eastAsia="Arial" w:hAnsi="Arial" w:cs="Arial"/>
      <w:b/>
      <w:bCs/>
      <w:lang w:eastAsia="en-GB" w:bidi="en-GB"/>
    </w:rPr>
  </w:style>
  <w:style w:type="paragraph" w:styleId="BodyText">
    <w:name w:val="Body Text"/>
    <w:basedOn w:val="Normal"/>
    <w:link w:val="BodyTextChar"/>
    <w:uiPriority w:val="1"/>
    <w:qFormat/>
    <w:rsid w:val="009A4F86"/>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9A4F86"/>
    <w:rPr>
      <w:rFonts w:ascii="Arial" w:eastAsia="Arial" w:hAnsi="Arial" w:cs="Arial"/>
      <w:sz w:val="20"/>
      <w:szCs w:val="20"/>
      <w:lang w:eastAsia="en-GB" w:bidi="en-GB"/>
    </w:rPr>
  </w:style>
  <w:style w:type="character" w:styleId="Hyperlink">
    <w:name w:val="Hyperlink"/>
    <w:basedOn w:val="DefaultParagraphFont"/>
    <w:uiPriority w:val="99"/>
    <w:semiHidden/>
    <w:unhideWhenUsed/>
    <w:rsid w:val="007F0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pt.pharmacy.eastkent@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mc.medicines.org.uk/"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mpt.pharmacy.eastkent@nhs.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Words>
  <Characters>283</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Karen</dc:creator>
  <cp:lastModifiedBy>Christopher Bridge1</cp:lastModifiedBy>
  <cp:revision>2</cp:revision>
  <dcterms:created xsi:type="dcterms:W3CDTF">2020-12-10T12:25:00Z</dcterms:created>
  <dcterms:modified xsi:type="dcterms:W3CDTF">2020-12-10T12:25:00Z</dcterms:modified>
</cp:coreProperties>
</file>