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28C5" w14:textId="0D995E5F" w:rsidR="00547759" w:rsidRDefault="00547759" w:rsidP="0062270F">
      <w:pPr>
        <w:pStyle w:val="Title"/>
        <w:jc w:val="left"/>
        <w:rPr>
          <w:rFonts w:ascii="Arial" w:hAnsi="Arial"/>
        </w:rPr>
      </w:pPr>
      <w:r w:rsidRPr="00AC3931">
        <w:rPr>
          <w:noProof/>
        </w:rPr>
        <w:drawing>
          <wp:anchor distT="0" distB="0" distL="114300" distR="114300" simplePos="0" relativeHeight="251645952" behindDoc="0" locked="0" layoutInCell="1" allowOverlap="1" wp14:anchorId="1DA5DD3D" wp14:editId="4FC6184F">
            <wp:simplePos x="0" y="0"/>
            <wp:positionH relativeFrom="column">
              <wp:posOffset>8468360</wp:posOffset>
            </wp:positionH>
            <wp:positionV relativeFrom="paragraph">
              <wp:posOffset>-219710</wp:posOffset>
            </wp:positionV>
            <wp:extent cx="1619250" cy="62801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302EF" w14:textId="38F8694B" w:rsidR="0062270F" w:rsidRDefault="00535E57" w:rsidP="0062270F">
      <w:pPr>
        <w:pStyle w:val="Title"/>
        <w:jc w:val="left"/>
        <w:rPr>
          <w:rFonts w:ascii="Arial" w:hAnsi="Arial"/>
        </w:rPr>
      </w:pPr>
      <w:r w:rsidRPr="00535E57">
        <w:rPr>
          <w:rFonts w:ascii="Arial" w:hAnsi="Arial"/>
        </w:rPr>
        <w:t xml:space="preserve">Kent and Medway </w:t>
      </w:r>
      <w:r w:rsidR="0062270F">
        <w:rPr>
          <w:rFonts w:ascii="Arial" w:hAnsi="Arial"/>
        </w:rPr>
        <w:t xml:space="preserve">Supplementary Information for </w:t>
      </w:r>
      <w:r w:rsidR="0062270F" w:rsidRPr="003261F1">
        <w:rPr>
          <w:rFonts w:ascii="Arial" w:hAnsi="Arial"/>
        </w:rPr>
        <w:t>ant</w:t>
      </w:r>
      <w:r w:rsidR="0062270F">
        <w:rPr>
          <w:rFonts w:ascii="Arial" w:hAnsi="Arial"/>
        </w:rPr>
        <w:t>imicrobial prescribing guidance</w:t>
      </w:r>
      <w:r w:rsidR="003A7092">
        <w:rPr>
          <w:rFonts w:ascii="Arial" w:hAnsi="Arial"/>
        </w:rPr>
        <w:t xml:space="preserve"> </w:t>
      </w:r>
      <w:r w:rsidR="0062270F" w:rsidRPr="003261F1">
        <w:rPr>
          <w:rFonts w:ascii="Arial" w:hAnsi="Arial"/>
        </w:rPr>
        <w:t xml:space="preserve">– managing common infections </w:t>
      </w:r>
    </w:p>
    <w:p w14:paraId="03AFA436" w14:textId="412FBA09" w:rsidR="004D7234" w:rsidRDefault="00C85E9B" w:rsidP="00482EB8">
      <w:pPr>
        <w:pStyle w:val="NICEnormal"/>
        <w:rPr>
          <w:lang w:eastAsia="en-GB"/>
        </w:rPr>
      </w:pPr>
      <w:r w:rsidRPr="00482EB8">
        <w:rPr>
          <w:b/>
          <w:bCs/>
          <w:lang w:eastAsia="en-GB"/>
        </w:rPr>
        <w:t xml:space="preserve">Please note: </w:t>
      </w:r>
      <w:r w:rsidRPr="00482EB8">
        <w:rPr>
          <w:lang w:eastAsia="en-GB"/>
        </w:rPr>
        <w:t xml:space="preserve">Kent and Medway CCG have reviewed and agreed the </w:t>
      </w:r>
      <w:r w:rsidR="00FB7CDD">
        <w:rPr>
          <w:lang w:eastAsia="en-GB"/>
        </w:rPr>
        <w:t>January</w:t>
      </w:r>
      <w:r w:rsidR="00F30BE1" w:rsidRPr="00482EB8">
        <w:rPr>
          <w:lang w:eastAsia="en-GB"/>
        </w:rPr>
        <w:t xml:space="preserve"> 202</w:t>
      </w:r>
      <w:r w:rsidR="00FB7CDD">
        <w:rPr>
          <w:lang w:eastAsia="en-GB"/>
        </w:rPr>
        <w:t>2</w:t>
      </w:r>
      <w:r w:rsidRPr="00482EB8">
        <w:rPr>
          <w:lang w:eastAsia="en-GB"/>
        </w:rPr>
        <w:t xml:space="preserve"> NICE </w:t>
      </w:r>
      <w:r w:rsidRPr="00482EB8">
        <w:rPr>
          <w:i/>
          <w:iCs/>
          <w:lang w:eastAsia="en-GB"/>
        </w:rPr>
        <w:t xml:space="preserve">Summary of antimicrobial prescribing guidance- managing common infections </w:t>
      </w:r>
      <w:r w:rsidRPr="00482EB8">
        <w:rPr>
          <w:lang w:eastAsia="en-GB"/>
        </w:rPr>
        <w:t xml:space="preserve">which can be found </w:t>
      </w:r>
      <w:hyperlink r:id="rId8" w:history="1">
        <w:r w:rsidRPr="00A2605C">
          <w:rPr>
            <w:rStyle w:val="Hyperlink"/>
            <w:color w:val="1F497D" w:themeColor="text2"/>
            <w:lang w:eastAsia="en-GB"/>
          </w:rPr>
          <w:t>here</w:t>
        </w:r>
        <w:r w:rsidRPr="00482EB8">
          <w:rPr>
            <w:rStyle w:val="Hyperlink"/>
            <w:color w:val="auto"/>
            <w:lang w:eastAsia="en-GB"/>
          </w:rPr>
          <w:t>.</w:t>
        </w:r>
      </w:hyperlink>
      <w:r w:rsidRPr="00482EB8">
        <w:rPr>
          <w:lang w:eastAsia="en-GB"/>
        </w:rPr>
        <w:t xml:space="preserve"> </w:t>
      </w:r>
    </w:p>
    <w:p w14:paraId="7893355C" w14:textId="77777777" w:rsidR="005A58AF" w:rsidRDefault="00280A29" w:rsidP="005A58AF">
      <w:pPr>
        <w:pStyle w:val="NICEnormal"/>
        <w:spacing w:after="0"/>
        <w:rPr>
          <w:lang w:eastAsia="en-GB"/>
        </w:rPr>
      </w:pPr>
      <w:r w:rsidRPr="00482EB8">
        <w:rPr>
          <w:lang w:eastAsia="en-GB"/>
        </w:rPr>
        <w:t xml:space="preserve">Where there are local considerations and adaptations </w:t>
      </w:r>
      <w:r w:rsidR="00DB2BDD">
        <w:rPr>
          <w:lang w:eastAsia="en-GB"/>
        </w:rPr>
        <w:t xml:space="preserve">to </w:t>
      </w:r>
      <w:r w:rsidR="00DB2BDD" w:rsidRPr="00482EB8">
        <w:rPr>
          <w:lang w:eastAsia="en-GB"/>
        </w:rPr>
        <w:t xml:space="preserve">a subsection of the NICE summary table </w:t>
      </w:r>
      <w:r w:rsidRPr="00482EB8">
        <w:rPr>
          <w:lang w:eastAsia="en-GB"/>
        </w:rPr>
        <w:t xml:space="preserve">these will be listed in the table below. </w:t>
      </w:r>
    </w:p>
    <w:p w14:paraId="7A94BA01" w14:textId="42731471" w:rsidR="00DB2BDD" w:rsidRDefault="00280A29" w:rsidP="00482EB8">
      <w:pPr>
        <w:pStyle w:val="NICEnormal"/>
        <w:rPr>
          <w:lang w:eastAsia="en-GB"/>
        </w:rPr>
      </w:pPr>
      <w:r w:rsidRPr="00482EB8">
        <w:rPr>
          <w:lang w:eastAsia="en-GB"/>
        </w:rPr>
        <w:t>If there h</w:t>
      </w:r>
      <w:r w:rsidR="00DB2BDD">
        <w:rPr>
          <w:lang w:eastAsia="en-GB"/>
        </w:rPr>
        <w:t>ave been no local adaptations</w:t>
      </w:r>
      <w:r w:rsidRPr="00482EB8">
        <w:rPr>
          <w:lang w:eastAsia="en-GB"/>
        </w:rPr>
        <w:t xml:space="preserve"> </w:t>
      </w:r>
      <w:r w:rsidR="00DB2BDD">
        <w:rPr>
          <w:lang w:eastAsia="en-GB"/>
        </w:rPr>
        <w:t>then these sections</w:t>
      </w:r>
      <w:r w:rsidRPr="00482EB8">
        <w:rPr>
          <w:lang w:eastAsia="en-GB"/>
        </w:rPr>
        <w:t xml:space="preserve"> will</w:t>
      </w:r>
      <w:r w:rsidRPr="00482EB8">
        <w:rPr>
          <w:b/>
          <w:bCs/>
          <w:lang w:eastAsia="en-GB"/>
        </w:rPr>
        <w:t xml:space="preserve"> not</w:t>
      </w:r>
      <w:r w:rsidRPr="00482EB8">
        <w:rPr>
          <w:lang w:eastAsia="en-GB"/>
        </w:rPr>
        <w:t xml:space="preserve"> appear in the table below.    </w:t>
      </w:r>
    </w:p>
    <w:p w14:paraId="00F47EF8" w14:textId="77777777" w:rsidR="0062270F" w:rsidRPr="003261F1" w:rsidRDefault="0062270F" w:rsidP="0062270F">
      <w:pPr>
        <w:rPr>
          <w:rFonts w:ascii="Arial" w:hAnsi="Arial" w:cs="Arial"/>
        </w:rPr>
      </w:pP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507427" wp14:editId="2B6E685A">
                <wp:simplePos x="0" y="0"/>
                <wp:positionH relativeFrom="margin">
                  <wp:posOffset>3651250</wp:posOffset>
                </wp:positionH>
                <wp:positionV relativeFrom="paragraph">
                  <wp:posOffset>74295</wp:posOffset>
                </wp:positionV>
                <wp:extent cx="831850" cy="241300"/>
                <wp:effectExtent l="0" t="0" r="25400" b="25400"/>
                <wp:wrapSquare wrapText="bothSides"/>
                <wp:docPr id="102" name="Text Box 2" title="Jump to section on meningitis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2E27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Meningitis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Meningitis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7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Jump to section on meningitis" href="#Meningitis" style="position:absolute;margin-left:287.5pt;margin-top:5.85pt;width:65.5pt;height:1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" o:button="t" fillcolor="#517489">
                <v:fill o:detectmouseclick="t"/>
                <v:textbox>
                  <w:txbxContent>
                    <w:p w14:paraId="2BB82E27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Meningitis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Meningitis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0177B" wp14:editId="45A620DB">
                <wp:simplePos x="0" y="0"/>
                <wp:positionH relativeFrom="margin">
                  <wp:posOffset>4578350</wp:posOffset>
                </wp:positionH>
                <wp:positionV relativeFrom="paragraph">
                  <wp:posOffset>74295</wp:posOffset>
                </wp:positionV>
                <wp:extent cx="406400" cy="241300"/>
                <wp:effectExtent l="0" t="0" r="12700" b="25400"/>
                <wp:wrapSquare wrapText="bothSides"/>
                <wp:docPr id="103" name="Text Box 2" title="Jump to section on GI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CE7D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GI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177B" id="_x0000_s1027" type="#_x0000_t202" alt="Title: Jump to section on GI" href="#GI" style="position:absolute;margin-left:360.5pt;margin-top:5.85pt;width:32pt;height: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" o:button="t" fillcolor="#517489">
                <v:fill o:detectmouseclick="t"/>
                <v:textbox>
                  <w:txbxContent>
                    <w:p w14:paraId="535ACE7D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GI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GI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0E16B" wp14:editId="11475B6F">
                <wp:simplePos x="0" y="0"/>
                <wp:positionH relativeFrom="margin">
                  <wp:posOffset>5080000</wp:posOffset>
                </wp:positionH>
                <wp:positionV relativeFrom="paragraph">
                  <wp:posOffset>74295</wp:posOffset>
                </wp:positionV>
                <wp:extent cx="654050" cy="241300"/>
                <wp:effectExtent l="0" t="0" r="12700" b="25400"/>
                <wp:wrapSquare wrapText="bothSides"/>
                <wp:docPr id="104" name="Text Box 2" title="Jump to section on genital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B4C8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Genital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Genital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E16B" id="_x0000_s1028" type="#_x0000_t202" alt="Title: Jump to section on genital" href="#Genital" style="position:absolute;margin-left:400pt;margin-top:5.85pt;width:51.5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" o:button="t" fillcolor="#517489">
                <v:fill o:detectmouseclick="t"/>
                <v:textbox>
                  <w:txbxContent>
                    <w:p w14:paraId="55B8B4C8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Genital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Genital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4FE531" wp14:editId="798B7E0C">
                <wp:simplePos x="0" y="0"/>
                <wp:positionH relativeFrom="margin">
                  <wp:posOffset>5848350</wp:posOffset>
                </wp:positionH>
                <wp:positionV relativeFrom="paragraph">
                  <wp:posOffset>74295</wp:posOffset>
                </wp:positionV>
                <wp:extent cx="501650" cy="241300"/>
                <wp:effectExtent l="0" t="0" r="12700" b="25400"/>
                <wp:wrapSquare wrapText="bothSides"/>
                <wp:docPr id="106" name="Text Box 2" title="Jump to section on skin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B1DC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Skin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Skin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E531" id="_x0000_s1029" type="#_x0000_t202" alt="Title: Jump to section on skin" href="#Skin" style="position:absolute;margin-left:460.5pt;margin-top:5.85pt;width:39.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" o:button="t" fillcolor="#517489">
                <v:fill o:detectmouseclick="t"/>
                <v:textbox>
                  <w:txbxContent>
                    <w:p w14:paraId="4C47B1DC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Skin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Skin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4DC04" wp14:editId="776F928F">
                <wp:simplePos x="0" y="0"/>
                <wp:positionH relativeFrom="margin">
                  <wp:posOffset>6445250</wp:posOffset>
                </wp:positionH>
                <wp:positionV relativeFrom="paragraph">
                  <wp:posOffset>74295</wp:posOffset>
                </wp:positionV>
                <wp:extent cx="501650" cy="241300"/>
                <wp:effectExtent l="0" t="0" r="12700" b="25400"/>
                <wp:wrapSquare wrapText="bothSides"/>
                <wp:docPr id="107" name="Text Box 2" title="Jump to section on eye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ED69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Eye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Eye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DC04" id="_x0000_s1030" type="#_x0000_t202" alt="Title: Jump to section on eye" href="#Eye" style="position:absolute;margin-left:507.5pt;margin-top:5.85pt;width:39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" o:button="t" fillcolor="#517489">
                <v:fill o:detectmouseclick="t"/>
                <v:textbox>
                  <w:txbxContent>
                    <w:p w14:paraId="2910ED69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Eye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Eye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571E06" wp14:editId="0E567010">
                <wp:simplePos x="0" y="0"/>
                <wp:positionH relativeFrom="margin">
                  <wp:posOffset>7061200</wp:posOffset>
                </wp:positionH>
                <wp:positionV relativeFrom="paragraph">
                  <wp:posOffset>74295</wp:posOffset>
                </wp:positionV>
                <wp:extent cx="679450" cy="241300"/>
                <wp:effectExtent l="0" t="0" r="25400" b="25400"/>
                <wp:wrapSquare wrapText="bothSides"/>
                <wp:docPr id="108" name="Text Box 2" title="Jump to section on dental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7204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Dental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Dental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1E06" id="_x0000_s1031" type="#_x0000_t202" alt="Title: Jump to section on dental" href="#Dental" style="position:absolute;margin-left:556pt;margin-top:5.85pt;width:53.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" o:button="t" fillcolor="#517489">
                <v:fill o:detectmouseclick="t"/>
                <v:textbox>
                  <w:txbxContent>
                    <w:p w14:paraId="3F977204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Dental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Dental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611346" wp14:editId="2515CFE2">
                <wp:simplePos x="0" y="0"/>
                <wp:positionH relativeFrom="margin">
                  <wp:posOffset>3149600</wp:posOffset>
                </wp:positionH>
                <wp:positionV relativeFrom="paragraph">
                  <wp:posOffset>74295</wp:posOffset>
                </wp:positionV>
                <wp:extent cx="406400" cy="241300"/>
                <wp:effectExtent l="0" t="0" r="12700" b="25400"/>
                <wp:wrapSquare wrapText="bothSides"/>
                <wp:docPr id="101" name="Text Box 2" title="Jump to section on UTI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89B1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UTI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UTI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1346" id="_x0000_s1032" type="#_x0000_t202" alt="Title: Jump to section on UTI" href="#UTI" style="position:absolute;margin-left:248pt;margin-top:5.85pt;width:32pt;height:1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" o:button="t" fillcolor="#517489">
                <v:fill o:detectmouseclick="t"/>
                <v:textbox>
                  <w:txbxContent>
                    <w:p w14:paraId="3A5B89B1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UTI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UTI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42A89AD" wp14:editId="50D4E22C">
                <wp:simplePos x="0" y="0"/>
                <wp:positionH relativeFrom="margin">
                  <wp:posOffset>2241550</wp:posOffset>
                </wp:positionH>
                <wp:positionV relativeFrom="paragraph">
                  <wp:posOffset>74295</wp:posOffset>
                </wp:positionV>
                <wp:extent cx="819150" cy="241300"/>
                <wp:effectExtent l="0" t="0" r="19050" b="25400"/>
                <wp:wrapSquare wrapText="bothSides"/>
                <wp:docPr id="62" name="Text Box 2" title="Jump to section on lower RTI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09C5E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LowerRTI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Lower RTI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89AD" id="_x0000_s1033" type="#_x0000_t202" alt="Title: Jump to section on lower RTI" href="#LowerRTI" style="position:absolute;margin-left:176.5pt;margin-top:5.85pt;width:64.5pt;height:1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" o:button="t" fillcolor="#517489">
                <v:fill o:detectmouseclick="t"/>
                <v:textbox>
                  <w:txbxContent>
                    <w:p w14:paraId="6EA09C5E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LowerRTI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Lower RTI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FB55376" wp14:editId="11F5A05B">
                <wp:simplePos x="0" y="0"/>
                <wp:positionH relativeFrom="margin">
                  <wp:posOffset>1333500</wp:posOffset>
                </wp:positionH>
                <wp:positionV relativeFrom="paragraph">
                  <wp:posOffset>73660</wp:posOffset>
                </wp:positionV>
                <wp:extent cx="819150" cy="241300"/>
                <wp:effectExtent l="0" t="0" r="19050" b="25400"/>
                <wp:wrapSquare wrapText="bothSides"/>
                <wp:docPr id="217" name="Text Box 2" title="Jump to section on upper RTI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rgbClr val="51748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A739" w14:textId="77777777" w:rsidR="006453E9" w:rsidRPr="00AB7E1B" w:rsidRDefault="00D8014F" w:rsidP="00622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w:anchor="UpperRTI" w:history="1">
                              <w:r w:rsidR="006453E9" w:rsidRPr="00AB7E1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Upper RTI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5376" id="_x0000_s1034" type="#_x0000_t202" alt="Title: Jump to section on upper RTI" href="#UpperRTI" style="position:absolute;margin-left:105pt;margin-top:5.8pt;width:64.5pt;height:1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" o:button="t" fillcolor="#517489">
                <v:fill o:detectmouseclick="t"/>
                <v:textbox>
                  <w:txbxContent>
                    <w:p w14:paraId="49CFA739" w14:textId="77777777" w:rsidR="006453E9" w:rsidRPr="00AB7E1B" w:rsidRDefault="00D8014F" w:rsidP="006227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w:anchor="UpperRTI" w:history="1">
                        <w:r w:rsidR="006453E9" w:rsidRPr="00AB7E1B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Upper RTI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61F1">
        <w:rPr>
          <w:rFonts w:ascii="Arial" w:hAnsi="Arial" w:cs="Arial"/>
        </w:rPr>
        <w:t>Jump to section on:</w:t>
      </w:r>
    </w:p>
    <w:p w14:paraId="3EB79209" w14:textId="77777777" w:rsidR="0062270F" w:rsidRPr="003261F1" w:rsidRDefault="0062270F" w:rsidP="0062270F">
      <w:pPr>
        <w:pStyle w:val="Tabletext"/>
        <w:rPr>
          <w:rFonts w:cs="Arial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  <w:tblCaption w:val="Summary of antimicrobial prescribing guidance table"/>
      </w:tblPr>
      <w:tblGrid>
        <w:gridCol w:w="2899"/>
        <w:gridCol w:w="142"/>
        <w:gridCol w:w="12013"/>
      </w:tblGrid>
      <w:tr w:rsidR="0062270F" w:rsidRPr="003261F1" w14:paraId="65A9F17B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  <w:vAlign w:val="center"/>
          </w:tcPr>
          <w:p w14:paraId="4B6B124D" w14:textId="77777777" w:rsidR="0062270F" w:rsidRPr="003261F1" w:rsidRDefault="0062270F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t></w:t>
            </w:r>
            <w:r w:rsidRPr="00E63CA7">
              <w:rPr>
                <w:rStyle w:val="Tablesubheadingarrow"/>
              </w:rPr>
              <w:t></w:t>
            </w:r>
            <w:bookmarkStart w:id="0" w:name="UpperRTI"/>
            <w:r w:rsidRPr="003261F1">
              <w:rPr>
                <w:rFonts w:eastAsia="Arial" w:cs="Arial"/>
              </w:rPr>
              <w:t>Upper respiratory tract infections</w:t>
            </w:r>
            <w:bookmarkEnd w:id="0"/>
          </w:p>
        </w:tc>
      </w:tr>
      <w:tr w:rsidR="002C52D1" w:rsidRPr="003261F1" w14:paraId="30F21BA2" w14:textId="77777777" w:rsidTr="001967AC">
        <w:trPr>
          <w:cantSplit/>
          <w:trHeight w:val="1251"/>
        </w:trPr>
        <w:tc>
          <w:tcPr>
            <w:tcW w:w="963" w:type="pct"/>
            <w:shd w:val="clear" w:color="auto" w:fill="F4F4F4"/>
          </w:tcPr>
          <w:p w14:paraId="7854BA98" w14:textId="04C8F762" w:rsidR="003B7E65" w:rsidRPr="003261F1" w:rsidRDefault="002C52D1" w:rsidP="003B7E65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Acute sore throat</w:t>
            </w:r>
          </w:p>
          <w:p w14:paraId="1544ACFC" w14:textId="5996A470" w:rsidR="003B7E65" w:rsidRDefault="003B7E65" w:rsidP="003B7E65">
            <w:pPr>
              <w:pStyle w:val="Tabletext"/>
              <w:rPr>
                <w:rFonts w:cs="Arial"/>
                <w:sz w:val="16"/>
                <w:szCs w:val="20"/>
              </w:rPr>
            </w:pPr>
            <w:r w:rsidRPr="00C85E9B">
              <w:rPr>
                <w:rFonts w:cs="Arial"/>
                <w:sz w:val="16"/>
                <w:szCs w:val="20"/>
              </w:rPr>
              <w:t>Last updated</w:t>
            </w:r>
            <w:r w:rsidR="00556C0F">
              <w:rPr>
                <w:rFonts w:cs="Arial"/>
                <w:sz w:val="16"/>
                <w:szCs w:val="20"/>
              </w:rPr>
              <w:t xml:space="preserve"> by NICE/PHE</w:t>
            </w:r>
            <w:r w:rsidRPr="00C85E9B">
              <w:rPr>
                <w:rFonts w:cs="Arial"/>
                <w:sz w:val="16"/>
                <w:szCs w:val="20"/>
              </w:rPr>
              <w:t>:</w:t>
            </w:r>
            <w:r w:rsidR="001967AC">
              <w:rPr>
                <w:rFonts w:cs="Arial"/>
                <w:sz w:val="16"/>
                <w:szCs w:val="20"/>
              </w:rPr>
              <w:t xml:space="preserve"> </w:t>
            </w:r>
            <w:r w:rsidR="00556C0F">
              <w:rPr>
                <w:rFonts w:cs="Arial"/>
                <w:sz w:val="16"/>
                <w:szCs w:val="20"/>
              </w:rPr>
              <w:t>Jan 2018</w:t>
            </w:r>
          </w:p>
          <w:p w14:paraId="06AD0921" w14:textId="4F05D574" w:rsidR="002C52D1" w:rsidRPr="001967AC" w:rsidRDefault="00556C0F" w:rsidP="001967AC">
            <w:pPr>
              <w:pStyle w:val="Tabletext"/>
              <w:rPr>
                <w:rFonts w:cs="Arial"/>
                <w:sz w:val="16"/>
                <w:szCs w:val="20"/>
                <w:highlight w:val="yellow"/>
              </w:rPr>
            </w:pPr>
            <w:r w:rsidRPr="00D8014F">
              <w:rPr>
                <w:rFonts w:cs="Arial"/>
                <w:sz w:val="16"/>
                <w:szCs w:val="20"/>
              </w:rPr>
              <w:t>Approved by K&amp;M JPC</w:t>
            </w:r>
            <w:r w:rsidR="001967AC" w:rsidRPr="00D8014F">
              <w:rPr>
                <w:rFonts w:cs="Arial"/>
                <w:sz w:val="16"/>
                <w:szCs w:val="20"/>
              </w:rPr>
              <w:t xml:space="preserve">: </w:t>
            </w:r>
            <w:r w:rsidR="00D8014F" w:rsidRPr="00D8014F">
              <w:rPr>
                <w:rFonts w:cs="Arial"/>
                <w:sz w:val="16"/>
                <w:szCs w:val="20"/>
              </w:rPr>
              <w:t>March 2022</w:t>
            </w:r>
          </w:p>
        </w:tc>
        <w:tc>
          <w:tcPr>
            <w:tcW w:w="4037" w:type="pct"/>
            <w:gridSpan w:val="2"/>
            <w:shd w:val="clear" w:color="auto" w:fill="F4F4F4"/>
          </w:tcPr>
          <w:p w14:paraId="1D0F770A" w14:textId="6717ED20" w:rsidR="004443EA" w:rsidRPr="00556C0F" w:rsidRDefault="0067622D" w:rsidP="0053604A">
            <w:pPr>
              <w:pStyle w:val="Tabletext"/>
              <w:rPr>
                <w:rFonts w:cs="Arial"/>
                <w:b/>
                <w:bCs/>
              </w:rPr>
            </w:pPr>
            <w:proofErr w:type="spellStart"/>
            <w:r w:rsidRPr="003A7092">
              <w:rPr>
                <w:rFonts w:cs="Arial"/>
                <w:b/>
                <w:bCs/>
              </w:rPr>
              <w:t>Phenoxmethylpenicillin</w:t>
            </w:r>
            <w:proofErr w:type="spellEnd"/>
            <w:r w:rsidR="004443EA" w:rsidRPr="004443EA">
              <w:rPr>
                <w:rFonts w:cs="Arial"/>
                <w:b/>
                <w:bCs/>
              </w:rPr>
              <w:t>:</w:t>
            </w:r>
            <w:r w:rsidR="001967AC">
              <w:rPr>
                <w:rFonts w:cs="Arial"/>
                <w:bCs/>
              </w:rPr>
              <w:t xml:space="preserve"> </w:t>
            </w:r>
            <w:r w:rsidR="004443EA">
              <w:rPr>
                <w:rFonts w:cs="Arial"/>
              </w:rPr>
              <w:t>QDS dosing is preferred unless there are issues with patient compliance</w:t>
            </w:r>
            <w:r w:rsidR="00556C0F">
              <w:rPr>
                <w:rFonts w:cs="Arial"/>
              </w:rPr>
              <w:t>.</w:t>
            </w:r>
            <w:r w:rsidR="00556C0F">
              <w:rPr>
                <w:rFonts w:cs="Arial"/>
                <w:b/>
                <w:bCs/>
              </w:rPr>
              <w:t xml:space="preserve"> </w:t>
            </w:r>
            <w:r w:rsidR="004443EA">
              <w:rPr>
                <w:rFonts w:cs="Arial"/>
              </w:rPr>
              <w:t>A 10 day course may increase the chance of microbiological cure</w:t>
            </w:r>
            <w:r w:rsidR="00264BFA">
              <w:rPr>
                <w:rFonts w:cs="Arial"/>
              </w:rPr>
              <w:t>.</w:t>
            </w:r>
          </w:p>
          <w:p w14:paraId="6B923130" w14:textId="37D1AA82" w:rsidR="0053604A" w:rsidRPr="00556C0F" w:rsidRDefault="004443EA" w:rsidP="0062270F">
            <w:pPr>
              <w:pStyle w:val="Tabletext"/>
              <w:rPr>
                <w:rFonts w:cs="Arial"/>
                <w:b/>
                <w:bCs/>
                <w:color w:val="365F91" w:themeColor="accent1" w:themeShade="BF"/>
              </w:rPr>
            </w:pPr>
            <w:r w:rsidRPr="003A7092">
              <w:rPr>
                <w:rFonts w:cs="Arial"/>
                <w:b/>
                <w:bCs/>
              </w:rPr>
              <w:t>Erythromycin</w:t>
            </w:r>
            <w:r w:rsidR="00556C0F" w:rsidRPr="003A709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500mg QDS is preferred to 250mg QDS where appropriate. </w:t>
            </w:r>
          </w:p>
          <w:p w14:paraId="705CBE01" w14:textId="5A8EDD60" w:rsidR="00264BFA" w:rsidRPr="003261F1" w:rsidRDefault="00264BFA" w:rsidP="0062270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Please see </w:t>
            </w:r>
            <w:hyperlink r:id="rId18" w:history="1">
              <w:r w:rsidRPr="00264BFA"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to visual summary</w:t>
            </w:r>
          </w:p>
        </w:tc>
      </w:tr>
      <w:tr w:rsidR="0062270F" w:rsidRPr="003261F1" w14:paraId="70C1D994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02617B3F" w14:textId="44CCA4F8" w:rsidR="0062270F" w:rsidRPr="003261F1" w:rsidRDefault="0062270F" w:rsidP="0062270F">
            <w:pPr>
              <w:pStyle w:val="Tablesubheading"/>
              <w:rPr>
                <w:rFonts w:cs="Arial"/>
              </w:rPr>
            </w:pPr>
            <w:bookmarkStart w:id="1" w:name="LowerRTI"/>
            <w:r w:rsidRPr="00E63CA7">
              <w:rPr>
                <w:rStyle w:val="Tablesubheadingarrow"/>
              </w:rPr>
              <w:t></w:t>
            </w:r>
            <w:r w:rsidRPr="00E63CA7">
              <w:rPr>
                <w:rStyle w:val="Tablesubheadingarrow"/>
              </w:rPr>
              <w:t></w:t>
            </w:r>
            <w:r w:rsidRPr="003261F1">
              <w:rPr>
                <w:rFonts w:eastAsia="Arial" w:cs="Arial"/>
              </w:rPr>
              <w:t>Lower respiratory tract infections</w:t>
            </w:r>
            <w:r w:rsidRPr="003261F1">
              <w:rPr>
                <w:rFonts w:cs="Arial"/>
              </w:rPr>
              <w:t xml:space="preserve"> </w:t>
            </w:r>
            <w:bookmarkEnd w:id="1"/>
          </w:p>
        </w:tc>
      </w:tr>
      <w:tr w:rsidR="00E8608E" w:rsidRPr="003261F1" w14:paraId="79F45D20" w14:textId="77777777" w:rsidTr="001967AC">
        <w:trPr>
          <w:cantSplit/>
          <w:trHeight w:val="1079"/>
        </w:trPr>
        <w:tc>
          <w:tcPr>
            <w:tcW w:w="963" w:type="pct"/>
            <w:shd w:val="clear" w:color="auto" w:fill="auto"/>
          </w:tcPr>
          <w:p w14:paraId="502F91F8" w14:textId="2A8C7711" w:rsidR="00E8608E" w:rsidRPr="003261F1" w:rsidRDefault="00E8608E" w:rsidP="0062270F">
            <w:pPr>
              <w:pStyle w:val="Tabletextbold"/>
              <w:spacing w:after="0"/>
              <w:rPr>
                <w:rFonts w:cs="Arial"/>
              </w:rPr>
            </w:pPr>
            <w:bookmarkStart w:id="2" w:name="HospitalPneumonia"/>
            <w:r w:rsidRPr="003261F1">
              <w:rPr>
                <w:rFonts w:cs="Arial"/>
              </w:rPr>
              <w:t>Hospital-acquired pneumonia</w:t>
            </w:r>
            <w:r w:rsidR="00E46776">
              <w:rPr>
                <w:rFonts w:cs="Arial"/>
              </w:rPr>
              <w:t xml:space="preserve"> (HAP)</w:t>
            </w:r>
          </w:p>
          <w:bookmarkEnd w:id="2"/>
          <w:p w14:paraId="76EB7679" w14:textId="73297969" w:rsidR="00C85E9B" w:rsidRDefault="00E8608E" w:rsidP="00E8608E">
            <w:pPr>
              <w:pStyle w:val="Lastupdated"/>
              <w:rPr>
                <w:rFonts w:cs="Arial"/>
              </w:rPr>
            </w:pPr>
            <w:r w:rsidRPr="003261F1">
              <w:rPr>
                <w:rFonts w:cs="Arial"/>
              </w:rPr>
              <w:t>Last updated</w:t>
            </w:r>
            <w:r w:rsidR="001967AC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 xml:space="preserve">: </w:t>
            </w:r>
            <w:r w:rsidR="001967AC">
              <w:rPr>
                <w:rFonts w:cs="Arial"/>
              </w:rPr>
              <w:t>Sept 2019</w:t>
            </w:r>
          </w:p>
          <w:p w14:paraId="7C3D0D93" w14:textId="1423CAC5" w:rsidR="00556C0F" w:rsidRPr="003261F1" w:rsidRDefault="00D8014F" w:rsidP="001967AC">
            <w:pPr>
              <w:pStyle w:val="Tabletext"/>
              <w:rPr>
                <w:rFonts w:cs="Arial"/>
              </w:rPr>
            </w:pPr>
            <w:r w:rsidRPr="00D8014F">
              <w:rPr>
                <w:rFonts w:cs="Arial"/>
                <w:sz w:val="16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auto"/>
          </w:tcPr>
          <w:p w14:paraId="3BF7ECA6" w14:textId="6461F9D1" w:rsidR="001967AC" w:rsidRDefault="003E2A51" w:rsidP="00E8608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KMCCG </w:t>
            </w:r>
            <w:r w:rsidRPr="003E2A51">
              <w:rPr>
                <w:rFonts w:cs="Arial"/>
                <w:b/>
                <w:bCs/>
              </w:rPr>
              <w:t>do not</w:t>
            </w:r>
            <w:r>
              <w:rPr>
                <w:rFonts w:cs="Arial"/>
              </w:rPr>
              <w:t xml:space="preserve"> recommend </w:t>
            </w:r>
            <w:r w:rsidR="0067622D">
              <w:rPr>
                <w:rFonts w:cs="Arial"/>
              </w:rPr>
              <w:t>Co-amoxiclav</w:t>
            </w:r>
            <w:r>
              <w:rPr>
                <w:rFonts w:cs="Arial"/>
              </w:rPr>
              <w:t xml:space="preserve"> as a first line option</w:t>
            </w:r>
            <w:r w:rsidR="00E46776">
              <w:rPr>
                <w:rFonts w:cs="Arial"/>
              </w:rPr>
              <w:t xml:space="preserve"> for non-severe HAP within primary care. (In this indication use is reserved for severe HAP which requires treatment as an inpatient) </w:t>
            </w:r>
            <w:r>
              <w:rPr>
                <w:rFonts w:cs="Arial"/>
              </w:rPr>
              <w:t xml:space="preserve"> </w:t>
            </w:r>
          </w:p>
          <w:p w14:paraId="4B4D9DCA" w14:textId="313E753F" w:rsidR="00264BFA" w:rsidRDefault="003E2A51" w:rsidP="00E8608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Doxycycline </w:t>
            </w:r>
            <w:r w:rsidR="00556C0F">
              <w:rPr>
                <w:rFonts w:cs="Arial"/>
              </w:rPr>
              <w:t xml:space="preserve">is recommended </w:t>
            </w:r>
            <w:r>
              <w:rPr>
                <w:rFonts w:cs="Arial"/>
              </w:rPr>
              <w:t>as the first choice option</w:t>
            </w:r>
            <w:r w:rsidR="00AA4003">
              <w:rPr>
                <w:rFonts w:cs="Arial"/>
              </w:rPr>
              <w:t xml:space="preserve"> in adults</w:t>
            </w:r>
            <w:r>
              <w:rPr>
                <w:rFonts w:cs="Arial"/>
              </w:rPr>
              <w:t xml:space="preserve"> (non-severe and not higher risk of resistance)</w:t>
            </w:r>
            <w:r w:rsidR="00556C0F">
              <w:rPr>
                <w:rFonts w:cs="Arial"/>
              </w:rPr>
              <w:t xml:space="preserve"> with c</w:t>
            </w:r>
            <w:r>
              <w:rPr>
                <w:rFonts w:cs="Arial"/>
              </w:rPr>
              <w:t>o</w:t>
            </w:r>
            <w:r w:rsidR="00556C0F">
              <w:rPr>
                <w:rFonts w:cs="Arial"/>
              </w:rPr>
              <w:t>-trimoxazole</w:t>
            </w:r>
            <w:r>
              <w:rPr>
                <w:rFonts w:cs="Arial"/>
              </w:rPr>
              <w:t xml:space="preserve"> </w:t>
            </w:r>
            <w:r w:rsidR="00556C0F">
              <w:rPr>
                <w:rFonts w:cs="Arial"/>
              </w:rPr>
              <w:t>as an alternat</w:t>
            </w:r>
            <w:r w:rsidR="00AA4003">
              <w:rPr>
                <w:rFonts w:cs="Arial"/>
              </w:rPr>
              <w:t xml:space="preserve">ive </w:t>
            </w:r>
            <w:r w:rsidR="00556C0F">
              <w:rPr>
                <w:rFonts w:cs="Arial"/>
              </w:rPr>
              <w:t>first choice.</w:t>
            </w:r>
          </w:p>
          <w:p w14:paraId="4D3EB6B7" w14:textId="7A90EEC7" w:rsidR="00535E57" w:rsidRPr="003261F1" w:rsidRDefault="00264BFA" w:rsidP="00556C0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Please see </w:t>
            </w:r>
            <w:hyperlink r:id="rId19" w:history="1">
              <w:r w:rsidRPr="00264BFA"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to visual summary</w:t>
            </w:r>
          </w:p>
        </w:tc>
      </w:tr>
      <w:tr w:rsidR="002C52D1" w:rsidRPr="003261F1" w14:paraId="1D8E25E8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2EA57BE1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lastRenderedPageBreak/>
              <w:t></w:t>
            </w:r>
            <w:r w:rsidRPr="00E63CA7">
              <w:rPr>
                <w:rStyle w:val="Tablesubheadingarrow"/>
              </w:rPr>
              <w:t></w:t>
            </w:r>
            <w:bookmarkStart w:id="3" w:name="UTI"/>
            <w:r w:rsidRPr="003261F1">
              <w:rPr>
                <w:rFonts w:cs="Arial"/>
              </w:rPr>
              <w:t xml:space="preserve">Urinary </w:t>
            </w:r>
            <w:bookmarkEnd w:id="3"/>
            <w:r w:rsidRPr="003261F1">
              <w:rPr>
                <w:rFonts w:cs="Arial"/>
              </w:rPr>
              <w:t>tract infections</w:t>
            </w:r>
          </w:p>
        </w:tc>
      </w:tr>
      <w:tr w:rsidR="00E8608E" w:rsidRPr="003261F1" w14:paraId="6A23CD37" w14:textId="77777777" w:rsidTr="00A3220A">
        <w:trPr>
          <w:cantSplit/>
          <w:trHeight w:val="1371"/>
        </w:trPr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14:paraId="48B34400" w14:textId="7D92001D" w:rsidR="00E8608E" w:rsidRPr="003261F1" w:rsidRDefault="00E8608E" w:rsidP="00A3220A">
            <w:pPr>
              <w:pStyle w:val="Tabletextbold"/>
              <w:keepNext/>
              <w:rPr>
                <w:rFonts w:cs="Arial"/>
              </w:rPr>
            </w:pPr>
            <w:r>
              <w:rPr>
                <w:rFonts w:cs="Arial"/>
              </w:rPr>
              <w:t>Lower urinary tract infection</w:t>
            </w:r>
            <w:r w:rsidR="003A7092">
              <w:rPr>
                <w:rFonts w:cs="Arial"/>
              </w:rPr>
              <w:t xml:space="preserve"> (UTI)</w:t>
            </w:r>
          </w:p>
          <w:p w14:paraId="20449662" w14:textId="30E89D3A" w:rsidR="00E8608E" w:rsidRPr="00A3220A" w:rsidRDefault="00E8608E" w:rsidP="003D6A0D">
            <w:pPr>
              <w:pStyle w:val="Lastupdated"/>
              <w:keepNext/>
              <w:rPr>
                <w:rFonts w:cs="Arial"/>
                <w:highlight w:val="yellow"/>
              </w:rPr>
            </w:pPr>
            <w:r w:rsidRPr="003261F1">
              <w:rPr>
                <w:rFonts w:cs="Arial"/>
              </w:rPr>
              <w:t>Last updated</w:t>
            </w:r>
            <w:r w:rsidR="00A3220A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 xml:space="preserve">: </w:t>
            </w:r>
            <w:r w:rsidR="00A3220A">
              <w:rPr>
                <w:rFonts w:cs="Arial"/>
              </w:rPr>
              <w:t xml:space="preserve"> Oct 2018</w:t>
            </w:r>
            <w:r w:rsidRPr="003261F1">
              <w:rPr>
                <w:rFonts w:cs="Arial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2826B" w14:textId="25780C28" w:rsidR="00E8608E" w:rsidRDefault="00DD3174" w:rsidP="00300934">
            <w:pPr>
              <w:pStyle w:val="Tabletext"/>
              <w:spacing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7C1767">
              <w:rPr>
                <w:rFonts w:cs="Arial"/>
              </w:rPr>
              <w:t>rimethoprim</w:t>
            </w:r>
            <w:r>
              <w:rPr>
                <w:rFonts w:cs="Arial"/>
              </w:rPr>
              <w:t xml:space="preserve"> is recommended </w:t>
            </w:r>
            <w:r w:rsidR="00DF5517">
              <w:rPr>
                <w:rFonts w:cs="Arial"/>
              </w:rPr>
              <w:t xml:space="preserve">for use </w:t>
            </w:r>
            <w:r>
              <w:rPr>
                <w:rFonts w:cs="Arial"/>
              </w:rPr>
              <w:t>only if the infection is known to be sensitive.</w:t>
            </w:r>
          </w:p>
          <w:p w14:paraId="6B487B27" w14:textId="282C2D46" w:rsidR="007C1767" w:rsidRDefault="007C1767" w:rsidP="00300934">
            <w:pPr>
              <w:pStyle w:val="Tabletext"/>
              <w:spacing w:after="120"/>
              <w:rPr>
                <w:bCs/>
              </w:rPr>
            </w:pPr>
            <w:r w:rsidRPr="00A718DF">
              <w:rPr>
                <w:bCs/>
              </w:rPr>
              <w:t xml:space="preserve">Nitrofurantoin liquid is expensive. </w:t>
            </w:r>
            <w:r w:rsidR="00DF5517" w:rsidRPr="00A718DF">
              <w:rPr>
                <w:bCs/>
              </w:rPr>
              <w:t>Use only if absolutely necessary</w:t>
            </w:r>
            <w:r w:rsidR="00DF5517">
              <w:rPr>
                <w:bCs/>
              </w:rPr>
              <w:t xml:space="preserve">; </w:t>
            </w:r>
            <w:r w:rsidR="00DF5517">
              <w:t>NICE</w:t>
            </w:r>
            <w:r w:rsidR="00DF5517">
              <w:rPr>
                <w:bCs/>
              </w:rPr>
              <w:t xml:space="preserve"> advises</w:t>
            </w:r>
            <w:r w:rsidR="00DD3174">
              <w:rPr>
                <w:bCs/>
              </w:rPr>
              <w:t xml:space="preserve"> that if two</w:t>
            </w:r>
            <w:r w:rsidR="00DD3174" w:rsidRPr="00DD3174">
              <w:rPr>
                <w:bCs/>
              </w:rPr>
              <w:t xml:space="preserve"> or more antibiotics are appropriate, choose the one with the lowest acquisition cost</w:t>
            </w:r>
            <w:r w:rsidR="00DD3174">
              <w:rPr>
                <w:bCs/>
              </w:rPr>
              <w:t>.</w:t>
            </w:r>
          </w:p>
          <w:p w14:paraId="3475AE27" w14:textId="212D78EE" w:rsidR="007C1767" w:rsidRDefault="007C1767" w:rsidP="00300934">
            <w:pPr>
              <w:pStyle w:val="Tabletext"/>
              <w:spacing w:after="120"/>
              <w:rPr>
                <w:rFonts w:cs="Arial"/>
              </w:rPr>
            </w:pPr>
            <w:r>
              <w:rPr>
                <w:rFonts w:cs="Arial"/>
              </w:rPr>
              <w:t>Send</w:t>
            </w:r>
            <w:r>
              <w:t xml:space="preserve"> </w:t>
            </w:r>
            <w:r w:rsidRPr="007C1767">
              <w:rPr>
                <w:rFonts w:cs="Arial"/>
              </w:rPr>
              <w:t>midstream</w:t>
            </w:r>
            <w:r>
              <w:rPr>
                <w:rFonts w:cs="Arial"/>
              </w:rPr>
              <w:t xml:space="preserve"> urin</w:t>
            </w:r>
            <w:r w:rsidR="004D7B5A">
              <w:rPr>
                <w:rFonts w:cs="Arial"/>
              </w:rPr>
              <w:t xml:space="preserve">e (MSU) </w:t>
            </w:r>
            <w:r>
              <w:rPr>
                <w:rFonts w:cs="Arial"/>
              </w:rPr>
              <w:t xml:space="preserve">for culture and </w:t>
            </w:r>
            <w:r w:rsidRPr="007C1767">
              <w:rPr>
                <w:rFonts w:cs="Arial"/>
              </w:rPr>
              <w:t>sus</w:t>
            </w:r>
            <w:r>
              <w:rPr>
                <w:rFonts w:cs="Arial"/>
              </w:rPr>
              <w:t xml:space="preserve">ceptibility or dipstick in line </w:t>
            </w:r>
            <w:r w:rsidRPr="007C1767">
              <w:rPr>
                <w:rFonts w:cs="Arial"/>
              </w:rPr>
              <w:t>wit</w:t>
            </w:r>
            <w:r>
              <w:rPr>
                <w:rFonts w:cs="Arial"/>
              </w:rPr>
              <w:t xml:space="preserve">h the </w:t>
            </w:r>
            <w:hyperlink r:id="rId20" w:history="1">
              <w:r w:rsidRPr="00AA4003">
                <w:rPr>
                  <w:rStyle w:val="Hyperlink"/>
                  <w:rFonts w:cs="Arial"/>
                </w:rPr>
                <w:t>NICE guideline on urinary tract infection</w:t>
              </w:r>
            </w:hyperlink>
            <w:r w:rsidR="00DD3174">
              <w:rPr>
                <w:rFonts w:cs="Arial"/>
              </w:rPr>
              <w:t xml:space="preserve"> and </w:t>
            </w:r>
            <w:hyperlink r:id="rId21" w:history="1">
              <w:r w:rsidR="00DD3174" w:rsidRPr="00DD3174">
                <w:rPr>
                  <w:rStyle w:val="Hyperlink"/>
                  <w:rFonts w:cs="Arial"/>
                </w:rPr>
                <w:t>PHE guidance on diagnosis of UTIs</w:t>
              </w:r>
            </w:hyperlink>
          </w:p>
          <w:p w14:paraId="0C9B0E17" w14:textId="77777777" w:rsidR="00EB4CEE" w:rsidRDefault="00EB4CEE" w:rsidP="00300934">
            <w:pPr>
              <w:pStyle w:val="Tabletext"/>
              <w:spacing w:after="120"/>
              <w:rPr>
                <w:bCs/>
              </w:rPr>
            </w:pPr>
            <w:r w:rsidRPr="000A3AC3">
              <w:rPr>
                <w:bCs/>
              </w:rPr>
              <w:t>Refer children under 3 months to paediatric specialist</w:t>
            </w:r>
          </w:p>
          <w:p w14:paraId="3378311E" w14:textId="77777777" w:rsidR="00EC1CFF" w:rsidRDefault="00EC1CFF" w:rsidP="00300934">
            <w:pPr>
              <w:pStyle w:val="Tabletext"/>
              <w:spacing w:after="120"/>
              <w:rPr>
                <w:bCs/>
              </w:rPr>
            </w:pPr>
          </w:p>
          <w:p w14:paraId="0249F40A" w14:textId="78420855" w:rsidR="00EC1CFF" w:rsidRPr="003261F1" w:rsidRDefault="00EC1CFF" w:rsidP="00300934">
            <w:pPr>
              <w:pStyle w:val="Tabletext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Please see </w:t>
            </w:r>
            <w:hyperlink r:id="rId22" w:history="1">
              <w:r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to visual summary</w:t>
            </w:r>
          </w:p>
        </w:tc>
      </w:tr>
      <w:tr w:rsidR="00E8608E" w:rsidRPr="003261F1" w14:paraId="63545886" w14:textId="77777777" w:rsidTr="00A3220A">
        <w:trPr>
          <w:cantSplit/>
          <w:trHeight w:val="881"/>
        </w:trPr>
        <w:tc>
          <w:tcPr>
            <w:tcW w:w="96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5D9B4B" w14:textId="1BBC33AE" w:rsidR="00E8608E" w:rsidRPr="003261F1" w:rsidRDefault="00E8608E" w:rsidP="00A3220A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Acute prostatitis</w:t>
            </w:r>
          </w:p>
          <w:p w14:paraId="7D42FFC8" w14:textId="77777777" w:rsidR="00A3220A" w:rsidRPr="00A3220A" w:rsidRDefault="00A3220A" w:rsidP="00A322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220A">
              <w:rPr>
                <w:rFonts w:ascii="Arial" w:hAnsi="Arial" w:cs="Arial"/>
                <w:sz w:val="16"/>
                <w:szCs w:val="16"/>
              </w:rPr>
              <w:t xml:space="preserve">Last updated by NICE/PHE: </w:t>
            </w:r>
            <w:r w:rsidR="00E8608E" w:rsidRPr="00A3220A">
              <w:rPr>
                <w:rFonts w:ascii="Arial" w:hAnsi="Arial" w:cs="Arial"/>
                <w:sz w:val="16"/>
                <w:szCs w:val="16"/>
              </w:rPr>
              <w:t>Oct 2018</w:t>
            </w:r>
          </w:p>
          <w:p w14:paraId="551B6CAE" w14:textId="6AE2B99D" w:rsidR="003D6A0D" w:rsidRPr="00A3220A" w:rsidRDefault="00D8014F" w:rsidP="00A3220A">
            <w:pPr>
              <w:spacing w:after="0"/>
              <w:rPr>
                <w:rFonts w:ascii="Arial" w:hAnsi="Arial" w:cs="Arial"/>
                <w:szCs w:val="16"/>
                <w:highlight w:val="yellow"/>
              </w:rPr>
            </w:pPr>
            <w:r w:rsidRPr="00D8014F">
              <w:rPr>
                <w:rFonts w:cs="Arial"/>
                <w:sz w:val="16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ADAA8D" w14:textId="0405E6D9" w:rsidR="00E8608E" w:rsidRDefault="00EB4CEE" w:rsidP="00300934">
            <w:pPr>
              <w:pStyle w:val="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>Discuss with urologist if treatment failure</w:t>
            </w:r>
            <w:r w:rsidR="00DF5517">
              <w:rPr>
                <w:rFonts w:cs="Arial"/>
              </w:rPr>
              <w:t>/no response to th</w:t>
            </w:r>
            <w:r>
              <w:rPr>
                <w:rFonts w:cs="Arial"/>
              </w:rPr>
              <w:t>e first course</w:t>
            </w:r>
            <w:r w:rsidR="00DF5517">
              <w:rPr>
                <w:rFonts w:cs="Arial"/>
              </w:rPr>
              <w:t xml:space="preserve"> of antibiotics</w:t>
            </w:r>
            <w:r>
              <w:rPr>
                <w:rFonts w:cs="Arial"/>
              </w:rPr>
              <w:t>.</w:t>
            </w:r>
          </w:p>
          <w:p w14:paraId="6B74B1D2" w14:textId="77777777" w:rsidR="00EC1CFF" w:rsidRDefault="00EC1CFF" w:rsidP="00300934">
            <w:pPr>
              <w:pStyle w:val="Tabletext"/>
              <w:spacing w:after="0"/>
              <w:rPr>
                <w:rFonts w:cs="Arial"/>
              </w:rPr>
            </w:pPr>
          </w:p>
          <w:p w14:paraId="18252049" w14:textId="20AB5D38" w:rsidR="00EC1CFF" w:rsidRPr="003261F1" w:rsidRDefault="00EC1CFF" w:rsidP="00300934">
            <w:pPr>
              <w:pStyle w:val="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Please see </w:t>
            </w:r>
            <w:hyperlink r:id="rId23" w:history="1">
              <w:r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</w:t>
            </w:r>
            <w:r w:rsidRPr="00EC1CFF">
              <w:rPr>
                <w:rFonts w:cs="Arial"/>
              </w:rPr>
              <w:t>to visual summary</w:t>
            </w:r>
          </w:p>
        </w:tc>
      </w:tr>
      <w:tr w:rsidR="00E8608E" w:rsidRPr="003261F1" w14:paraId="2813C872" w14:textId="77777777" w:rsidTr="00A3220A">
        <w:trPr>
          <w:cantSplit/>
          <w:trHeight w:val="993"/>
        </w:trPr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4FBE0" w14:textId="6A9842C2" w:rsidR="00E8608E" w:rsidRPr="003261F1" w:rsidRDefault="00E8608E" w:rsidP="0062270F">
            <w:pPr>
              <w:pStyle w:val="Tabletextbold"/>
              <w:rPr>
                <w:rFonts w:cs="Arial"/>
              </w:rPr>
            </w:pPr>
            <w:bookmarkStart w:id="4" w:name="AcutePyelonephritis"/>
            <w:r w:rsidRPr="003261F1">
              <w:rPr>
                <w:rFonts w:cs="Arial"/>
              </w:rPr>
              <w:t xml:space="preserve">Acute pyelonephritis </w:t>
            </w:r>
            <w:bookmarkEnd w:id="4"/>
            <w:r w:rsidRPr="003261F1">
              <w:rPr>
                <w:rFonts w:cs="Arial"/>
              </w:rPr>
              <w:br/>
              <w:t>(upper urinary tract)</w:t>
            </w:r>
          </w:p>
          <w:p w14:paraId="36D7D4E3" w14:textId="48CBC231" w:rsidR="00E8608E" w:rsidRDefault="00E8608E" w:rsidP="0062270F">
            <w:pPr>
              <w:pStyle w:val="Lastupdated"/>
              <w:rPr>
                <w:rFonts w:cs="Arial"/>
              </w:rPr>
            </w:pPr>
            <w:r w:rsidRPr="003261F1">
              <w:rPr>
                <w:rFonts w:cs="Arial"/>
              </w:rPr>
              <w:t>Last updated</w:t>
            </w:r>
            <w:r w:rsidR="00A3220A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>:</w:t>
            </w:r>
            <w:r w:rsidR="003837F4">
              <w:rPr>
                <w:rFonts w:cs="Arial"/>
              </w:rPr>
              <w:t xml:space="preserve"> </w:t>
            </w:r>
            <w:r w:rsidRPr="003261F1">
              <w:rPr>
                <w:rFonts w:cs="Arial"/>
              </w:rPr>
              <w:t>Oct 2018</w:t>
            </w:r>
          </w:p>
          <w:p w14:paraId="22CC9F24" w14:textId="3898A65C" w:rsidR="003D6A0D" w:rsidRPr="00A3220A" w:rsidRDefault="00D8014F" w:rsidP="00A3220A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ED12" w14:textId="77777777" w:rsidR="00986C30" w:rsidRDefault="00EB4CEE" w:rsidP="00E8608E">
            <w:pPr>
              <w:pStyle w:val="Tabletext"/>
              <w:rPr>
                <w:rFonts w:cs="Arial"/>
              </w:rPr>
            </w:pPr>
            <w:r w:rsidRPr="00EB4CEE">
              <w:rPr>
                <w:rFonts w:cs="Arial"/>
              </w:rPr>
              <w:t>Send midstream urine for culture and susceptibility</w:t>
            </w:r>
            <w:r>
              <w:rPr>
                <w:rFonts w:cs="Arial"/>
              </w:rPr>
              <w:t xml:space="preserve"> before starting empirical treatment</w:t>
            </w:r>
            <w:r w:rsidR="00DF5517">
              <w:rPr>
                <w:rFonts w:cs="Arial"/>
              </w:rPr>
              <w:t xml:space="preserve"> in all patient groups</w:t>
            </w:r>
            <w:r>
              <w:rPr>
                <w:rFonts w:cs="Arial"/>
              </w:rPr>
              <w:t>.</w:t>
            </w:r>
            <w:r w:rsidR="00DF5517">
              <w:rPr>
                <w:rFonts w:cs="Arial"/>
              </w:rPr>
              <w:t xml:space="preserve"> </w:t>
            </w:r>
          </w:p>
          <w:p w14:paraId="48EE0995" w14:textId="77777777" w:rsidR="00986C30" w:rsidRDefault="00DF5517" w:rsidP="00E8608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Review antibiotic choice once culture results available.</w:t>
            </w:r>
            <w:r w:rsidR="00986C30">
              <w:rPr>
                <w:rFonts w:cs="Arial"/>
              </w:rPr>
              <w:t xml:space="preserve"> </w:t>
            </w:r>
          </w:p>
          <w:p w14:paraId="5DB6542E" w14:textId="6EF27510" w:rsidR="00E8608E" w:rsidRDefault="00986C30" w:rsidP="00E8608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Due to high levels of resistance co-amoxiclav and trimethoprim should only be prescribed if culture results are available and indicate susceptibility.</w:t>
            </w:r>
          </w:p>
          <w:p w14:paraId="36C8506A" w14:textId="77777777" w:rsidR="00EC1CFF" w:rsidRDefault="00EC1CFF" w:rsidP="00E8608E">
            <w:pPr>
              <w:pStyle w:val="Tabletext"/>
              <w:rPr>
                <w:rFonts w:cs="Arial"/>
              </w:rPr>
            </w:pPr>
          </w:p>
          <w:p w14:paraId="1F01EDFD" w14:textId="19ECACAB" w:rsidR="00EC1CFF" w:rsidRPr="003261F1" w:rsidRDefault="00EC1CFF" w:rsidP="00E8608E">
            <w:pPr>
              <w:pStyle w:val="Tabletext"/>
              <w:rPr>
                <w:rFonts w:cs="Arial"/>
              </w:rPr>
            </w:pPr>
            <w:r w:rsidRPr="00EC1CFF">
              <w:rPr>
                <w:rFonts w:cs="Arial"/>
              </w:rPr>
              <w:t xml:space="preserve">Please see </w:t>
            </w:r>
            <w:r>
              <w:rPr>
                <w:rFonts w:cs="Arial"/>
              </w:rPr>
              <w:t xml:space="preserve"> </w:t>
            </w:r>
            <w:hyperlink r:id="rId24" w:history="1">
              <w:r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t</w:t>
            </w:r>
            <w:r w:rsidRPr="00EC1CFF">
              <w:rPr>
                <w:rFonts w:cs="Arial"/>
              </w:rPr>
              <w:t>o visual summary</w:t>
            </w:r>
          </w:p>
        </w:tc>
      </w:tr>
      <w:tr w:rsidR="00E8608E" w:rsidRPr="003261F1" w14:paraId="6F187AFE" w14:textId="77777777" w:rsidTr="00A3220A">
        <w:trPr>
          <w:cantSplit/>
          <w:trHeight w:val="1249"/>
        </w:trPr>
        <w:tc>
          <w:tcPr>
            <w:tcW w:w="96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FD8679" w14:textId="77777777" w:rsidR="00E8608E" w:rsidRPr="003261F1" w:rsidRDefault="00E8608E" w:rsidP="0062270F">
            <w:pPr>
              <w:pStyle w:val="Tabletext"/>
              <w:rPr>
                <w:rFonts w:cs="Arial"/>
                <w:b/>
                <w:bCs/>
              </w:rPr>
            </w:pPr>
            <w:r w:rsidRPr="003261F1">
              <w:rPr>
                <w:rFonts w:cs="Arial"/>
                <w:b/>
                <w:bCs/>
              </w:rPr>
              <w:t>Recurrent urinary tract infection</w:t>
            </w:r>
          </w:p>
          <w:p w14:paraId="04EDC9C2" w14:textId="62E2BB0D" w:rsidR="00E8608E" w:rsidRDefault="00E8608E" w:rsidP="0062270F">
            <w:pPr>
              <w:pStyle w:val="Lastupdated"/>
              <w:rPr>
                <w:rFonts w:cs="Arial"/>
              </w:rPr>
            </w:pPr>
            <w:r w:rsidRPr="003261F1">
              <w:rPr>
                <w:rFonts w:cs="Arial"/>
              </w:rPr>
              <w:t>Last updated</w:t>
            </w:r>
            <w:r w:rsidR="00A3220A">
              <w:rPr>
                <w:rFonts w:cs="Arial"/>
              </w:rPr>
              <w:t xml:space="preserve"> by NICE/PHE:</w:t>
            </w:r>
            <w:r w:rsidRPr="003261F1">
              <w:rPr>
                <w:rFonts w:cs="Arial"/>
              </w:rPr>
              <w:t xml:space="preserve"> Oct 2018</w:t>
            </w:r>
          </w:p>
          <w:p w14:paraId="4A18CA73" w14:textId="62EB99B1" w:rsidR="003D6A0D" w:rsidRPr="003261F1" w:rsidRDefault="00D8014F" w:rsidP="00A3220A">
            <w:pPr>
              <w:pStyle w:val="Lastupdated"/>
              <w:keepNext/>
              <w:rPr>
                <w:rFonts w:cs="Arial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1EAA4B" w14:textId="6011C6B3" w:rsidR="00DF5517" w:rsidRDefault="00EB4CEE" w:rsidP="00E8608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  <w:r w:rsidR="003A7092">
              <w:rPr>
                <w:rFonts w:cs="Arial"/>
              </w:rPr>
              <w:t xml:space="preserve">antibiotic treatment </w:t>
            </w:r>
            <w:r>
              <w:rPr>
                <w:rFonts w:cs="Arial"/>
              </w:rPr>
              <w:t>within 6 months</w:t>
            </w:r>
            <w:r w:rsidR="003A7092">
              <w:rPr>
                <w:rFonts w:cs="Arial"/>
              </w:rPr>
              <w:t>:</w:t>
            </w:r>
          </w:p>
          <w:p w14:paraId="439E533D" w14:textId="3EE19B6F" w:rsidR="00EB4CEE" w:rsidRPr="00DF5517" w:rsidRDefault="00DF5517" w:rsidP="00E8608E">
            <w:pPr>
              <w:pStyle w:val="Tabletext"/>
              <w:numPr>
                <w:ilvl w:val="0"/>
                <w:numId w:val="38"/>
              </w:numPr>
              <w:rPr>
                <w:rFonts w:cs="Arial"/>
              </w:rPr>
            </w:pPr>
            <w:r w:rsidRPr="00DF5517">
              <w:rPr>
                <w:rFonts w:cs="Arial"/>
              </w:rPr>
              <w:t>If no breakthrough UTIs during 6 months of antibiotic prophylaxis and symptom free at the 6 month review, stop the antibiotics and observe. If further UTIs</w:t>
            </w:r>
            <w:r>
              <w:rPr>
                <w:rFonts w:cs="Arial"/>
              </w:rPr>
              <w:t xml:space="preserve"> then </w:t>
            </w:r>
            <w:r w:rsidRPr="00DF5517">
              <w:rPr>
                <w:rFonts w:cs="Arial"/>
              </w:rPr>
              <w:t>occur</w:t>
            </w:r>
            <w:r>
              <w:rPr>
                <w:rFonts w:cs="Arial"/>
              </w:rPr>
              <w:t xml:space="preserve">, </w:t>
            </w:r>
            <w:r w:rsidR="00EB4CEE" w:rsidRPr="00DF5517">
              <w:rPr>
                <w:rFonts w:cs="Arial"/>
              </w:rPr>
              <w:t>se</w:t>
            </w:r>
            <w:r w:rsidR="003A7092">
              <w:rPr>
                <w:rFonts w:cs="Arial"/>
              </w:rPr>
              <w:t>ek guidance from m</w:t>
            </w:r>
            <w:r>
              <w:rPr>
                <w:rFonts w:cs="Arial"/>
              </w:rPr>
              <w:t>icrobiologist</w:t>
            </w:r>
            <w:r w:rsidR="00EB4CEE" w:rsidRPr="00DF5517">
              <w:rPr>
                <w:rFonts w:cs="Arial"/>
              </w:rPr>
              <w:t xml:space="preserve">. </w:t>
            </w:r>
          </w:p>
          <w:p w14:paraId="455F8476" w14:textId="77777777" w:rsidR="00E8608E" w:rsidRDefault="00E8608E" w:rsidP="0062270F">
            <w:pPr>
              <w:pStyle w:val="Tabletext"/>
              <w:rPr>
                <w:rFonts w:cs="Arial"/>
              </w:rPr>
            </w:pPr>
          </w:p>
          <w:p w14:paraId="1DE82D24" w14:textId="7534EBC7" w:rsidR="00EC1CFF" w:rsidRPr="003261F1" w:rsidRDefault="00EC1CFF" w:rsidP="0062270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Please see </w:t>
            </w:r>
            <w:hyperlink r:id="rId25" w:history="1">
              <w:r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</w:t>
            </w:r>
            <w:r w:rsidRPr="00EC1CFF">
              <w:rPr>
                <w:rFonts w:cs="Arial"/>
              </w:rPr>
              <w:t>to visual summary</w:t>
            </w:r>
          </w:p>
        </w:tc>
      </w:tr>
      <w:tr w:rsidR="003A6536" w:rsidRPr="003261F1" w14:paraId="093A4BC1" w14:textId="77777777" w:rsidTr="00A3220A">
        <w:trPr>
          <w:cantSplit/>
          <w:trHeight w:val="1834"/>
        </w:trPr>
        <w:tc>
          <w:tcPr>
            <w:tcW w:w="9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355F7" w14:textId="1E947E17" w:rsidR="003A6536" w:rsidRPr="003261F1" w:rsidRDefault="003A6536" w:rsidP="0062270F">
            <w:pPr>
              <w:pStyle w:val="Tabletext"/>
              <w:keepNext/>
              <w:rPr>
                <w:rFonts w:cs="Arial"/>
                <w:b/>
                <w:bCs/>
              </w:rPr>
            </w:pPr>
            <w:r w:rsidRPr="003261F1">
              <w:rPr>
                <w:rFonts w:cs="Arial"/>
                <w:b/>
                <w:bCs/>
              </w:rPr>
              <w:t>Catheter-associated urinary tract infection</w:t>
            </w:r>
            <w:r w:rsidR="003A7092">
              <w:rPr>
                <w:rFonts w:cs="Arial"/>
                <w:b/>
                <w:bCs/>
              </w:rPr>
              <w:t xml:space="preserve"> (CAUTI)</w:t>
            </w:r>
          </w:p>
          <w:p w14:paraId="1A1E4B72" w14:textId="56EFCAC0" w:rsidR="003A6536" w:rsidRDefault="003A6536" w:rsidP="003A6536">
            <w:pPr>
              <w:pStyle w:val="Lastupdated"/>
              <w:rPr>
                <w:rFonts w:cs="Arial"/>
              </w:rPr>
            </w:pPr>
            <w:r w:rsidRPr="003261F1">
              <w:rPr>
                <w:rFonts w:cs="Arial"/>
              </w:rPr>
              <w:t>Last updated</w:t>
            </w:r>
            <w:r w:rsidR="003837F4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>:</w:t>
            </w:r>
            <w:r w:rsidR="003837F4">
              <w:rPr>
                <w:rFonts w:cs="Arial"/>
              </w:rPr>
              <w:t xml:space="preserve"> Nov 2018</w:t>
            </w:r>
            <w:r w:rsidRPr="003261F1">
              <w:rPr>
                <w:rFonts w:cs="Arial"/>
              </w:rPr>
              <w:t xml:space="preserve"> </w:t>
            </w:r>
          </w:p>
          <w:p w14:paraId="79F7DCEB" w14:textId="176CDFC1" w:rsidR="003D6A0D" w:rsidRPr="003837F4" w:rsidRDefault="00D8014F" w:rsidP="003837F4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94ECCA" w14:textId="36DF1296" w:rsidR="003A6536" w:rsidRDefault="003A7092" w:rsidP="003A653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Use trimethoprim and cef</w:t>
            </w:r>
            <w:r w:rsidR="004D7B5A" w:rsidRPr="004D7B5A">
              <w:rPr>
                <w:rFonts w:cs="Arial"/>
              </w:rPr>
              <w:t xml:space="preserve">alexin only if </w:t>
            </w:r>
            <w:r w:rsidR="000873CB">
              <w:rPr>
                <w:rFonts w:cs="Arial"/>
              </w:rPr>
              <w:t xml:space="preserve">infection is </w:t>
            </w:r>
            <w:r w:rsidR="004D7B5A" w:rsidRPr="004D7B5A">
              <w:rPr>
                <w:rFonts w:cs="Arial"/>
              </w:rPr>
              <w:t>known to be sensitive.</w:t>
            </w:r>
          </w:p>
          <w:p w14:paraId="4FB1242C" w14:textId="77777777" w:rsidR="000873CB" w:rsidRDefault="004D7B5A" w:rsidP="000873CB">
            <w:pPr>
              <w:pStyle w:val="Tabletext"/>
              <w:spacing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D7B5A">
              <w:rPr>
                <w:rFonts w:cs="Arial"/>
              </w:rPr>
              <w:t>ipstick</w:t>
            </w:r>
            <w:r>
              <w:rPr>
                <w:rFonts w:cs="Arial"/>
              </w:rPr>
              <w:t xml:space="preserve"> not appropriate for CAUTI.</w:t>
            </w:r>
            <w:r w:rsidR="00DF5517">
              <w:rPr>
                <w:rFonts w:cs="Arial"/>
              </w:rPr>
              <w:t xml:space="preserve"> Send urine sample if infection is suspected</w:t>
            </w:r>
            <w:r w:rsidR="000873CB">
              <w:rPr>
                <w:rFonts w:cs="Arial"/>
              </w:rPr>
              <w:t xml:space="preserve"> as per </w:t>
            </w:r>
            <w:hyperlink r:id="rId26" w:history="1">
              <w:r w:rsidR="000873CB" w:rsidRPr="00DD3174">
                <w:rPr>
                  <w:rStyle w:val="Hyperlink"/>
                  <w:rFonts w:cs="Arial"/>
                </w:rPr>
                <w:t>PHE guidance on diagnosis of UTIs</w:t>
              </w:r>
            </w:hyperlink>
            <w:r w:rsidR="000873CB">
              <w:rPr>
                <w:rFonts w:cs="Arial"/>
              </w:rPr>
              <w:t xml:space="preserve"> (page 9). </w:t>
            </w:r>
          </w:p>
          <w:p w14:paraId="0B9A6A70" w14:textId="66B51B75" w:rsidR="004D7B5A" w:rsidRDefault="000873CB" w:rsidP="000873CB">
            <w:pPr>
              <w:pStyle w:val="Tabletext"/>
              <w:spacing w:after="120"/>
              <w:rPr>
                <w:rFonts w:cs="Arial"/>
              </w:rPr>
            </w:pPr>
            <w:r>
              <w:rPr>
                <w:rFonts w:cs="Arial"/>
              </w:rPr>
              <w:t>If the urine sample shows no bacterial growth and no white cells infection is unlikely – review diagnosis.</w:t>
            </w:r>
          </w:p>
          <w:p w14:paraId="5DDF097D" w14:textId="7DAA17C5" w:rsidR="004D7B5A" w:rsidRDefault="00AA4003" w:rsidP="003A653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Additional l</w:t>
            </w:r>
            <w:r w:rsidR="004D7B5A" w:rsidRPr="004D7B5A">
              <w:rPr>
                <w:rFonts w:cs="Arial"/>
              </w:rPr>
              <w:t>ocal guidance for</w:t>
            </w:r>
            <w:r w:rsidR="004D7B5A">
              <w:rPr>
                <w:rFonts w:cs="Arial"/>
              </w:rPr>
              <w:t xml:space="preserve"> management of CAUTI and </w:t>
            </w:r>
            <w:r w:rsidR="00262936">
              <w:rPr>
                <w:rFonts w:cs="Arial"/>
              </w:rPr>
              <w:t xml:space="preserve">UTI in </w:t>
            </w:r>
            <w:r w:rsidR="004D7B5A">
              <w:rPr>
                <w:rFonts w:cs="Arial"/>
              </w:rPr>
              <w:t>patients over 65 years</w:t>
            </w:r>
            <w:r w:rsidR="00262936">
              <w:rPr>
                <w:rFonts w:cs="Arial"/>
              </w:rPr>
              <w:t xml:space="preserve"> pending</w:t>
            </w:r>
            <w:r w:rsidR="004D7B5A" w:rsidRPr="004D7B5A">
              <w:rPr>
                <w:rFonts w:cs="Arial"/>
              </w:rPr>
              <w:t>, please continue to refer to NICE guidance in the meantime</w:t>
            </w:r>
            <w:r w:rsidR="00262936">
              <w:rPr>
                <w:rFonts w:cs="Arial"/>
              </w:rPr>
              <w:t>.</w:t>
            </w:r>
          </w:p>
          <w:p w14:paraId="507BF513" w14:textId="77777777" w:rsidR="00EC1CFF" w:rsidRDefault="00EC1CFF" w:rsidP="003A6536">
            <w:pPr>
              <w:pStyle w:val="Tabletext"/>
              <w:rPr>
                <w:rFonts w:cs="Arial"/>
              </w:rPr>
            </w:pPr>
          </w:p>
          <w:p w14:paraId="34E3261F" w14:textId="3B277019" w:rsidR="00EC1CFF" w:rsidRPr="003261F1" w:rsidRDefault="00EC1CFF" w:rsidP="003A653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Please see </w:t>
            </w:r>
            <w:hyperlink r:id="rId27" w:history="1">
              <w:r>
                <w:rPr>
                  <w:rStyle w:val="Hyperlink"/>
                  <w:rFonts w:cs="Arial"/>
                </w:rPr>
                <w:t>LINK</w:t>
              </w:r>
            </w:hyperlink>
            <w:r>
              <w:rPr>
                <w:rFonts w:cs="Arial"/>
              </w:rPr>
              <w:t xml:space="preserve"> </w:t>
            </w:r>
            <w:r w:rsidRPr="00EC1CFF">
              <w:rPr>
                <w:rFonts w:cs="Arial"/>
              </w:rPr>
              <w:t>to visual summary</w:t>
            </w:r>
          </w:p>
        </w:tc>
      </w:tr>
      <w:tr w:rsidR="002C52D1" w:rsidRPr="003261F1" w14:paraId="66F9D641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1C78F273" w14:textId="59C58E5D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t></w:t>
            </w:r>
            <w:r w:rsidRPr="00E63CA7">
              <w:rPr>
                <w:rStyle w:val="Tablesubheadingarrow"/>
              </w:rPr>
              <w:t></w:t>
            </w:r>
            <w:bookmarkStart w:id="5" w:name="Meningitis"/>
            <w:r w:rsidRPr="003261F1">
              <w:rPr>
                <w:rFonts w:eastAsia="Arial" w:cs="Arial"/>
              </w:rPr>
              <w:t>Meningitis</w:t>
            </w:r>
            <w:bookmarkEnd w:id="5"/>
          </w:p>
        </w:tc>
      </w:tr>
      <w:tr w:rsidR="002C52D1" w:rsidRPr="003261F1" w14:paraId="744F0E65" w14:textId="77777777" w:rsidTr="00A3220A">
        <w:trPr>
          <w:cantSplit/>
        </w:trPr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14:paraId="10362D02" w14:textId="77777777" w:rsidR="002C52D1" w:rsidRDefault="002C52D1" w:rsidP="0062270F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 xml:space="preserve">Prevention of secondary case of meningitis </w:t>
            </w:r>
          </w:p>
          <w:p w14:paraId="1C33AABC" w14:textId="0BA5CCB2" w:rsidR="008D5FDE" w:rsidRPr="008D5FDE" w:rsidRDefault="008D5FDE" w:rsidP="0062270F">
            <w:pPr>
              <w:pStyle w:val="Tabletextbold"/>
              <w:rPr>
                <w:rFonts w:cs="Arial"/>
                <w:b w:val="0"/>
                <w:sz w:val="16"/>
                <w:szCs w:val="16"/>
              </w:rPr>
            </w:pPr>
            <w:r w:rsidRPr="008D5FDE">
              <w:rPr>
                <w:rFonts w:cs="Arial"/>
                <w:b w:val="0"/>
                <w:sz w:val="16"/>
                <w:szCs w:val="16"/>
              </w:rPr>
              <w:t>Last updated by NICE/PHE: Feb 2019</w:t>
            </w:r>
          </w:p>
          <w:p w14:paraId="09695DED" w14:textId="4FB4CD1A" w:rsidR="002C52D1" w:rsidRPr="003A7092" w:rsidRDefault="00D8014F" w:rsidP="003A7092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5096B" w14:textId="77777777" w:rsidR="002C52D1" w:rsidRPr="003261F1" w:rsidRDefault="002C52D1" w:rsidP="0062270F">
            <w:pPr>
              <w:pStyle w:val="Tabletext"/>
              <w:rPr>
                <w:rFonts w:cs="Arial"/>
              </w:rPr>
            </w:pPr>
            <w:r w:rsidRPr="003261F1">
              <w:rPr>
                <w:rFonts w:cs="Arial"/>
              </w:rPr>
              <w:t xml:space="preserve">Only prescribe following advice from your local health protection specialist/consultant: </w:t>
            </w:r>
            <w:r w:rsidRPr="003261F1">
              <w:rPr>
                <w:rFonts w:cs="Arial"/>
              </w:rPr>
              <w:sym w:font="Wingdings" w:char="F028"/>
            </w:r>
            <w:r w:rsidRPr="003261F1">
              <w:rPr>
                <w:rFonts w:cs="Arial"/>
              </w:rPr>
              <w:t xml:space="preserve"> </w:t>
            </w:r>
            <w:r w:rsidRPr="003B7E65">
              <w:rPr>
                <w:b/>
                <w:color w:val="365F91" w:themeColor="accent1" w:themeShade="BF"/>
              </w:rPr>
              <w:t>0344 225 3861</w:t>
            </w:r>
            <w:r w:rsidRPr="003B7E65">
              <w:rPr>
                <w:color w:val="365F91" w:themeColor="accent1" w:themeShade="BF"/>
              </w:rPr>
              <w:t xml:space="preserve"> </w:t>
            </w:r>
            <w:r>
              <w:t>(Kent Health Protection Team)</w:t>
            </w:r>
          </w:p>
          <w:p w14:paraId="18905665" w14:textId="1FFAB6EC" w:rsidR="002C52D1" w:rsidRPr="003261F1" w:rsidRDefault="002C52D1" w:rsidP="00A56DBD">
            <w:pPr>
              <w:pStyle w:val="Tabletext"/>
              <w:rPr>
                <w:rFonts w:cs="Arial"/>
              </w:rPr>
            </w:pPr>
            <w:r w:rsidRPr="003261F1">
              <w:rPr>
                <w:rFonts w:cs="Arial"/>
              </w:rPr>
              <w:t xml:space="preserve">Out of hours: contact on-call doctor: </w:t>
            </w:r>
            <w:r w:rsidRPr="003261F1">
              <w:rPr>
                <w:rFonts w:cs="Arial"/>
              </w:rPr>
              <w:sym w:font="Wingdings" w:char="F028"/>
            </w:r>
            <w:r w:rsidRPr="003261F1">
              <w:rPr>
                <w:rFonts w:cs="Arial"/>
              </w:rPr>
              <w:t xml:space="preserve">  </w:t>
            </w:r>
            <w:r w:rsidRPr="003B7E65">
              <w:rPr>
                <w:b/>
                <w:color w:val="365F91" w:themeColor="accent1" w:themeShade="BF"/>
              </w:rPr>
              <w:t>0844 967 0085</w:t>
            </w:r>
            <w:r w:rsidRPr="003B7E65">
              <w:rPr>
                <w:rFonts w:cs="Arial"/>
                <w:color w:val="365F91" w:themeColor="accent1" w:themeShade="BF"/>
              </w:rPr>
              <w:t xml:space="preserve"> </w:t>
            </w:r>
          </w:p>
        </w:tc>
      </w:tr>
      <w:tr w:rsidR="002C52D1" w:rsidRPr="003261F1" w14:paraId="41B64821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17E83141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lastRenderedPageBreak/>
              <w:t></w:t>
            </w:r>
            <w:r w:rsidRPr="00E63CA7">
              <w:rPr>
                <w:rStyle w:val="Tablesubheadingarrow"/>
              </w:rPr>
              <w:t></w:t>
            </w:r>
            <w:bookmarkStart w:id="6" w:name="GI"/>
            <w:r w:rsidRPr="003261F1">
              <w:rPr>
                <w:rFonts w:eastAsia="Arial" w:cs="Arial"/>
              </w:rPr>
              <w:t xml:space="preserve">Gastrointestinal </w:t>
            </w:r>
            <w:bookmarkEnd w:id="6"/>
            <w:r w:rsidRPr="003261F1">
              <w:rPr>
                <w:rFonts w:eastAsia="Arial" w:cs="Arial"/>
              </w:rPr>
              <w:t>tract infections</w:t>
            </w:r>
          </w:p>
        </w:tc>
      </w:tr>
      <w:tr w:rsidR="00B97B5F" w:rsidRPr="003261F1" w14:paraId="087110D8" w14:textId="77777777" w:rsidTr="00A56DBD">
        <w:trPr>
          <w:cantSplit/>
          <w:trHeight w:val="797"/>
        </w:trPr>
        <w:tc>
          <w:tcPr>
            <w:tcW w:w="963" w:type="pct"/>
            <w:shd w:val="clear" w:color="auto" w:fill="F2F2F2" w:themeFill="background1" w:themeFillShade="F2"/>
          </w:tcPr>
          <w:p w14:paraId="78C6B547" w14:textId="7048495C" w:rsidR="00B97B5F" w:rsidRPr="003261F1" w:rsidRDefault="00B97B5F" w:rsidP="00A56DBD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Oral candidiasis</w:t>
            </w:r>
          </w:p>
          <w:p w14:paraId="7A256538" w14:textId="6F2B81D2" w:rsidR="00B97B5F" w:rsidRPr="00A56DBD" w:rsidRDefault="00B97B5F" w:rsidP="00A56DBD">
            <w:pPr>
              <w:pStyle w:val="Lastupdated"/>
              <w:keepNext/>
              <w:rPr>
                <w:rStyle w:val="Characteritalic"/>
                <w:rFonts w:cs="Arial"/>
                <w:i w:val="0"/>
                <w:szCs w:val="16"/>
                <w:highlight w:val="yellow"/>
              </w:rPr>
            </w:pPr>
            <w:r w:rsidRPr="003261F1">
              <w:rPr>
                <w:rFonts w:cs="Arial"/>
              </w:rPr>
              <w:t>Last updated</w:t>
            </w:r>
            <w:r w:rsidR="00A56DBD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 xml:space="preserve">: </w:t>
            </w:r>
            <w:r w:rsidR="00A56DBD">
              <w:rPr>
                <w:rFonts w:cs="Arial"/>
              </w:rPr>
              <w:t>Oct 2018</w:t>
            </w:r>
            <w:r w:rsidRPr="003261F1">
              <w:rPr>
                <w:rFonts w:cs="Arial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F2F2F2" w:themeFill="background1" w:themeFillShade="F2"/>
          </w:tcPr>
          <w:p w14:paraId="1B7658D0" w14:textId="77777777" w:rsidR="00B97B5F" w:rsidRDefault="00154EE8" w:rsidP="00A56DBD">
            <w:pPr>
              <w:pStyle w:val="Tabletext"/>
              <w:rPr>
                <w:rFonts w:cs="Arial"/>
              </w:rPr>
            </w:pPr>
            <w:r w:rsidRPr="00154EE8">
              <w:rPr>
                <w:rFonts w:cs="Arial"/>
              </w:rPr>
              <w:t>Miconazole greatly increases the anticoagulant effect of warfarin. MHRA advises avoid unless INR can be monitored closely; monitor for signs of bleeding.</w:t>
            </w:r>
          </w:p>
          <w:p w14:paraId="78DB1993" w14:textId="669AC360" w:rsidR="002111D7" w:rsidRPr="003261F1" w:rsidRDefault="002111D7" w:rsidP="00220D5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Oral t</w:t>
            </w:r>
            <w:r w:rsidRPr="002111D7">
              <w:rPr>
                <w:rFonts w:cs="Arial"/>
              </w:rPr>
              <w:t xml:space="preserve">hrush is a minor condition </w:t>
            </w:r>
            <w:r>
              <w:rPr>
                <w:rFonts w:cs="Arial"/>
              </w:rPr>
              <w:t xml:space="preserve">that can be treated without the </w:t>
            </w:r>
            <w:r w:rsidRPr="002111D7">
              <w:rPr>
                <w:rFonts w:cs="Arial"/>
              </w:rPr>
              <w:t>need for a GP consultation or prescription in the first instance</w:t>
            </w:r>
            <w:r>
              <w:rPr>
                <w:rFonts w:cs="Arial"/>
              </w:rPr>
              <w:t>. P</w:t>
            </w:r>
            <w:r w:rsidRPr="002111D7">
              <w:rPr>
                <w:rFonts w:cs="Arial"/>
              </w:rPr>
              <w:t>rescription</w:t>
            </w:r>
            <w:r>
              <w:rPr>
                <w:rFonts w:cs="Arial"/>
              </w:rPr>
              <w:t>s</w:t>
            </w:r>
            <w:r w:rsidRPr="002111D7">
              <w:rPr>
                <w:rFonts w:cs="Arial"/>
              </w:rPr>
              <w:t xml:space="preserve"> fo</w:t>
            </w:r>
            <w:r>
              <w:rPr>
                <w:rFonts w:cs="Arial"/>
              </w:rPr>
              <w:t xml:space="preserve">r treatment for oral thrush should </w:t>
            </w:r>
            <w:r w:rsidRPr="002111D7">
              <w:rPr>
                <w:rFonts w:cs="Arial"/>
              </w:rPr>
              <w:t>not routinely be offered in p</w:t>
            </w:r>
            <w:r>
              <w:rPr>
                <w:rFonts w:cs="Arial"/>
              </w:rPr>
              <w:t xml:space="preserve">rimary care as the condition is </w:t>
            </w:r>
            <w:r w:rsidRPr="002111D7">
              <w:rPr>
                <w:rFonts w:cs="Arial"/>
              </w:rPr>
              <w:t>appropriate for self-care</w:t>
            </w:r>
            <w:r>
              <w:rPr>
                <w:rFonts w:cs="Arial"/>
              </w:rPr>
              <w:t xml:space="preserve"> as per </w:t>
            </w:r>
            <w:hyperlink r:id="rId28" w:history="1">
              <w:r w:rsidRPr="002111D7">
                <w:rPr>
                  <w:rStyle w:val="Hyperlink"/>
                  <w:rFonts w:cs="Arial"/>
                  <w:szCs w:val="20"/>
                </w:rPr>
                <w:t>NHSE Guidance</w:t>
              </w:r>
            </w:hyperlink>
            <w:r>
              <w:rPr>
                <w:rFonts w:cs="Arial"/>
                <w:szCs w:val="20"/>
              </w:rPr>
              <w:t>.</w:t>
            </w:r>
            <w:r>
              <w:t xml:space="preserve"> </w:t>
            </w:r>
            <w:r w:rsidRPr="002111D7">
              <w:rPr>
                <w:rFonts w:cs="Arial"/>
                <w:szCs w:val="20"/>
              </w:rPr>
              <w:t>Miconazole can be purchased OTC.</w:t>
            </w:r>
            <w:r w:rsidR="00220D56" w:rsidRPr="00220D56">
              <w:t xml:space="preserve"> Due to licensing restrictions on the OTC product, prescriptions may still be required for </w:t>
            </w:r>
            <w:r w:rsidR="00220D56">
              <w:rPr>
                <w:rFonts w:cs="Arial"/>
                <w:szCs w:val="20"/>
              </w:rPr>
              <w:t>c</w:t>
            </w:r>
            <w:r w:rsidR="00220D56" w:rsidRPr="00220D56">
              <w:rPr>
                <w:rFonts w:cs="Arial"/>
                <w:szCs w:val="20"/>
              </w:rPr>
              <w:t>hildren under 4 months</w:t>
            </w:r>
            <w:r w:rsidR="00220D56">
              <w:rPr>
                <w:rFonts w:cs="Arial"/>
                <w:szCs w:val="20"/>
              </w:rPr>
              <w:t>, in pregnancy and</w:t>
            </w:r>
            <w:r w:rsidR="00220D56" w:rsidRPr="00220D56">
              <w:rPr>
                <w:rFonts w:cs="Arial"/>
                <w:szCs w:val="20"/>
              </w:rPr>
              <w:t xml:space="preserve"> breastfeeding</w:t>
            </w:r>
            <w:r w:rsidR="00220D56">
              <w:rPr>
                <w:rFonts w:cs="Arial"/>
                <w:szCs w:val="20"/>
              </w:rPr>
              <w:t>, in p</w:t>
            </w:r>
            <w:r w:rsidR="00220D56" w:rsidRPr="00220D56">
              <w:rPr>
                <w:rFonts w:cs="Arial"/>
                <w:szCs w:val="20"/>
              </w:rPr>
              <w:t>atients taking warfarin</w:t>
            </w:r>
            <w:r w:rsidR="00220D56">
              <w:rPr>
                <w:rFonts w:cs="Arial"/>
                <w:szCs w:val="20"/>
              </w:rPr>
              <w:t xml:space="preserve"> (caution as above) and in liver dysfunction.</w:t>
            </w:r>
          </w:p>
        </w:tc>
      </w:tr>
      <w:tr w:rsidR="00B97B5F" w:rsidRPr="003261F1" w14:paraId="1A267B4F" w14:textId="77777777" w:rsidTr="00A56DBD">
        <w:trPr>
          <w:cantSplit/>
          <w:trHeight w:val="707"/>
        </w:trPr>
        <w:tc>
          <w:tcPr>
            <w:tcW w:w="963" w:type="pct"/>
            <w:shd w:val="clear" w:color="auto" w:fill="F2F2F2" w:themeFill="background1" w:themeFillShade="F2"/>
          </w:tcPr>
          <w:p w14:paraId="0E86BEB6" w14:textId="77777777" w:rsidR="00B97B5F" w:rsidRPr="003261F1" w:rsidRDefault="00B97B5F" w:rsidP="0062270F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Traveller’s diarrhoea</w:t>
            </w:r>
          </w:p>
          <w:p w14:paraId="0926F894" w14:textId="77777777" w:rsidR="00A56DBD" w:rsidRDefault="00A56DBD" w:rsidP="003D6A0D">
            <w:pPr>
              <w:pStyle w:val="Lastupdated"/>
              <w:keepNext/>
            </w:pPr>
            <w:r w:rsidRPr="00A56DBD">
              <w:t>Last updated</w:t>
            </w:r>
            <w:r>
              <w:t xml:space="preserve"> </w:t>
            </w:r>
            <w:r w:rsidRPr="00A56DBD">
              <w:t>by NICE/PHE: Oct 2018</w:t>
            </w:r>
          </w:p>
          <w:p w14:paraId="624F1159" w14:textId="369CE137" w:rsidR="003D6A0D" w:rsidRPr="00A56DBD" w:rsidRDefault="00D8014F" w:rsidP="00A56DBD">
            <w:pPr>
              <w:pStyle w:val="Lastupdated"/>
              <w:keepNext/>
              <w:rPr>
                <w:rStyle w:val="Characteritalic"/>
                <w:rFonts w:cs="Arial"/>
                <w:i w:val="0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F2F2F2" w:themeFill="background1" w:themeFillShade="F2"/>
          </w:tcPr>
          <w:p w14:paraId="0E597D3E" w14:textId="63CC10D9" w:rsidR="00B97B5F" w:rsidRPr="00B14A19" w:rsidRDefault="00B14A19" w:rsidP="0062270F">
            <w:pPr>
              <w:pStyle w:val="Tabletextitalic"/>
              <w:rPr>
                <w:rFonts w:cs="Arial"/>
                <w:i w:val="0"/>
                <w:sz w:val="20"/>
                <w:szCs w:val="20"/>
              </w:rPr>
            </w:pPr>
            <w:r w:rsidRPr="00B14A19">
              <w:rPr>
                <w:rFonts w:cs="Arial"/>
                <w:i w:val="0"/>
                <w:sz w:val="20"/>
                <w:szCs w:val="20"/>
              </w:rPr>
              <w:t>P</w:t>
            </w:r>
            <w:r>
              <w:rPr>
                <w:rFonts w:cs="Arial"/>
                <w:i w:val="0"/>
                <w:sz w:val="20"/>
                <w:szCs w:val="20"/>
              </w:rPr>
              <w:t xml:space="preserve">rophylaxis and </w:t>
            </w:r>
            <w:r w:rsidRPr="00B14A19">
              <w:rPr>
                <w:rFonts w:cs="Arial"/>
                <w:i w:val="0"/>
                <w:sz w:val="20"/>
                <w:szCs w:val="20"/>
              </w:rPr>
              <w:t>‘standby</w:t>
            </w:r>
            <w:r>
              <w:rPr>
                <w:rFonts w:cs="Arial"/>
                <w:i w:val="0"/>
                <w:sz w:val="20"/>
                <w:szCs w:val="20"/>
              </w:rPr>
              <w:t>’</w:t>
            </w:r>
            <w:r w:rsidRPr="00B14A19">
              <w:rPr>
                <w:rFonts w:cs="Arial"/>
                <w:i w:val="0"/>
                <w:sz w:val="20"/>
                <w:szCs w:val="20"/>
              </w:rPr>
              <w:t xml:space="preserve"> prescriptions should be obtained privately</w:t>
            </w:r>
            <w:r>
              <w:rPr>
                <w:rFonts w:cs="Arial"/>
                <w:i w:val="0"/>
                <w:sz w:val="20"/>
                <w:szCs w:val="20"/>
              </w:rPr>
              <w:t>.</w:t>
            </w:r>
          </w:p>
        </w:tc>
      </w:tr>
      <w:tr w:rsidR="00B97B5F" w:rsidRPr="003261F1" w14:paraId="3B3A811B" w14:textId="77777777" w:rsidTr="00A56DBD">
        <w:trPr>
          <w:cantSplit/>
          <w:trHeight w:val="904"/>
        </w:trPr>
        <w:tc>
          <w:tcPr>
            <w:tcW w:w="963" w:type="pct"/>
            <w:shd w:val="clear" w:color="auto" w:fill="auto"/>
          </w:tcPr>
          <w:p w14:paraId="515539A0" w14:textId="77777777" w:rsidR="00B97B5F" w:rsidRPr="003261F1" w:rsidRDefault="00B97B5F" w:rsidP="0062270F">
            <w:pPr>
              <w:pStyle w:val="Tabletextbold"/>
              <w:spacing w:after="0"/>
              <w:rPr>
                <w:rFonts w:cs="Arial"/>
              </w:rPr>
            </w:pPr>
            <w:r w:rsidRPr="003261F1">
              <w:rPr>
                <w:rFonts w:cs="Arial"/>
              </w:rPr>
              <w:t>Threadworm</w:t>
            </w:r>
          </w:p>
          <w:p w14:paraId="516362B2" w14:textId="222AF4C3" w:rsidR="00B97B5F" w:rsidRPr="00A56DBD" w:rsidRDefault="00A56DBD" w:rsidP="00A56DBD">
            <w:pPr>
              <w:pStyle w:val="Lastupdated"/>
              <w:keepNext/>
              <w:rPr>
                <w:rStyle w:val="Characteritalic"/>
                <w:rFonts w:cs="Arial"/>
                <w:i w:val="0"/>
                <w:szCs w:val="16"/>
                <w:highlight w:val="yellow"/>
              </w:rPr>
            </w:pPr>
            <w:r w:rsidRPr="00A56DBD">
              <w:rPr>
                <w:rFonts w:cs="Arial"/>
                <w:bCs w:val="0"/>
                <w:szCs w:val="16"/>
              </w:rPr>
              <w:t>Last updated</w:t>
            </w:r>
            <w:r>
              <w:rPr>
                <w:rFonts w:cs="Arial"/>
                <w:bCs w:val="0"/>
                <w:szCs w:val="16"/>
              </w:rPr>
              <w:t xml:space="preserve"> </w:t>
            </w:r>
            <w:r w:rsidRPr="00A56DBD">
              <w:rPr>
                <w:rFonts w:cs="Arial"/>
                <w:bCs w:val="0"/>
                <w:szCs w:val="16"/>
              </w:rPr>
              <w:t xml:space="preserve">by NICE/PHE: </w:t>
            </w:r>
            <w:r>
              <w:rPr>
                <w:rFonts w:cs="Arial"/>
                <w:bCs w:val="0"/>
                <w:szCs w:val="16"/>
              </w:rPr>
              <w:t xml:space="preserve">Nov </w:t>
            </w:r>
            <w:r w:rsidRPr="00A56DBD">
              <w:rPr>
                <w:rFonts w:cs="Arial"/>
                <w:bCs w:val="0"/>
                <w:szCs w:val="16"/>
              </w:rPr>
              <w:t>2018</w:t>
            </w:r>
            <w:r w:rsidR="00B97B5F" w:rsidRPr="00A56DBD">
              <w:rPr>
                <w:szCs w:val="16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auto"/>
          </w:tcPr>
          <w:p w14:paraId="092281D3" w14:textId="5D72E21F" w:rsidR="00B97B5F" w:rsidRDefault="008D5E33" w:rsidP="00220D56">
            <w:pPr>
              <w:pStyle w:val="Tabletextitalic"/>
              <w:rPr>
                <w:rFonts w:cs="Arial"/>
                <w:i w:val="0"/>
                <w:sz w:val="20"/>
                <w:szCs w:val="20"/>
              </w:rPr>
            </w:pPr>
            <w:r w:rsidRPr="00220D56">
              <w:rPr>
                <w:rFonts w:cs="Arial"/>
                <w:i w:val="0"/>
                <w:sz w:val="20"/>
                <w:szCs w:val="20"/>
              </w:rPr>
              <w:t>Refer to community pharmacies for</w:t>
            </w:r>
            <w:r w:rsidR="00562FE4" w:rsidRPr="00220D56">
              <w:rPr>
                <w:rFonts w:cs="Arial"/>
                <w:i w:val="0"/>
                <w:sz w:val="20"/>
                <w:szCs w:val="20"/>
              </w:rPr>
              <w:t xml:space="preserve"> </w:t>
            </w:r>
            <w:proofErr w:type="gramStart"/>
            <w:r w:rsidR="00A56DBD" w:rsidRPr="00220D56">
              <w:rPr>
                <w:rFonts w:cs="Arial"/>
                <w:i w:val="0"/>
                <w:sz w:val="20"/>
                <w:szCs w:val="20"/>
              </w:rPr>
              <w:t>over the counter</w:t>
            </w:r>
            <w:proofErr w:type="gramEnd"/>
            <w:r w:rsidR="00A56DBD" w:rsidRPr="00220D56">
              <w:rPr>
                <w:rFonts w:cs="Arial"/>
                <w:i w:val="0"/>
                <w:sz w:val="20"/>
                <w:szCs w:val="20"/>
              </w:rPr>
              <w:t xml:space="preserve"> management as per </w:t>
            </w:r>
            <w:hyperlink r:id="rId29" w:history="1">
              <w:r w:rsidR="00A56DBD" w:rsidRPr="00220D56">
                <w:rPr>
                  <w:rStyle w:val="Hyperlink"/>
                  <w:rFonts w:cs="Arial"/>
                  <w:i w:val="0"/>
                  <w:sz w:val="20"/>
                  <w:szCs w:val="20"/>
                </w:rPr>
                <w:t>NHSE Guidance</w:t>
              </w:r>
            </w:hyperlink>
            <w:r w:rsidR="003A7092" w:rsidRPr="00220D56">
              <w:rPr>
                <w:rFonts w:cs="Arial"/>
                <w:i w:val="0"/>
                <w:sz w:val="20"/>
                <w:szCs w:val="20"/>
              </w:rPr>
              <w:t>. Prescriptions for treatment of threadworm should not routinely be offered in primary care as the condition is appropriate for self-care.</w:t>
            </w:r>
            <w:r w:rsidR="00220D56" w:rsidRPr="00220D56">
              <w:rPr>
                <w:sz w:val="20"/>
                <w:szCs w:val="20"/>
              </w:rPr>
              <w:t xml:space="preserve"> </w:t>
            </w:r>
            <w:r w:rsidR="00220D56" w:rsidRPr="00220D56">
              <w:rPr>
                <w:i w:val="0"/>
                <w:sz w:val="20"/>
                <w:szCs w:val="20"/>
              </w:rPr>
              <w:t xml:space="preserve">Due to licensing restrictions on the OTC product, prescriptions may still be required for </w:t>
            </w:r>
            <w:r w:rsidR="00220D56">
              <w:rPr>
                <w:i w:val="0"/>
                <w:sz w:val="20"/>
                <w:szCs w:val="20"/>
              </w:rPr>
              <w:t>c</w:t>
            </w:r>
            <w:r w:rsidR="00220D56" w:rsidRPr="00220D56">
              <w:rPr>
                <w:rFonts w:cs="Arial"/>
                <w:i w:val="0"/>
                <w:sz w:val="20"/>
                <w:szCs w:val="20"/>
              </w:rPr>
              <w:t>hildren under 2 years</w:t>
            </w:r>
            <w:r w:rsidR="00220D56">
              <w:rPr>
                <w:rFonts w:cs="Arial"/>
                <w:i w:val="0"/>
                <w:sz w:val="20"/>
                <w:szCs w:val="20"/>
              </w:rPr>
              <w:t xml:space="preserve"> and during pregnancy and breastfeeding. </w:t>
            </w:r>
          </w:p>
          <w:p w14:paraId="74C5A507" w14:textId="3009A214" w:rsidR="00300934" w:rsidRPr="00562FE4" w:rsidRDefault="00300934" w:rsidP="0062270F">
            <w:pPr>
              <w:pStyle w:val="Tabletextitalic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Emphasize the importance of hygiene measures. Recurrence is common if hygiene measures are not adequately followed.</w:t>
            </w:r>
          </w:p>
          <w:p w14:paraId="288D42D5" w14:textId="51CA1AD0" w:rsidR="00562FE4" w:rsidRDefault="00D8014F" w:rsidP="0062270F">
            <w:pPr>
              <w:pStyle w:val="Tabletextitalic"/>
              <w:rPr>
                <w:rFonts w:cs="Arial"/>
              </w:rPr>
            </w:pPr>
            <w:hyperlink r:id="rId30" w:history="1">
              <w:r w:rsidR="00562FE4">
                <w:rPr>
                  <w:rStyle w:val="Hyperlink"/>
                  <w:rFonts w:cs="Arial"/>
                </w:rPr>
                <w:t>Patient Information (1)</w:t>
              </w:r>
            </w:hyperlink>
            <w:r w:rsidR="00562FE4">
              <w:rPr>
                <w:rFonts w:cs="Arial"/>
              </w:rPr>
              <w:t xml:space="preserve"> </w:t>
            </w:r>
          </w:p>
          <w:p w14:paraId="6CCE23A6" w14:textId="2A357911" w:rsidR="00562FE4" w:rsidRPr="003261F1" w:rsidRDefault="00D8014F" w:rsidP="0062270F">
            <w:pPr>
              <w:pStyle w:val="Tabletextitalic"/>
              <w:rPr>
                <w:rFonts w:cs="Arial"/>
              </w:rPr>
            </w:pPr>
            <w:hyperlink r:id="rId31" w:history="1">
              <w:r w:rsidR="00562FE4">
                <w:rPr>
                  <w:rStyle w:val="Hyperlink"/>
                  <w:rFonts w:cs="Arial"/>
                </w:rPr>
                <w:t>Patient Information (2)</w:t>
              </w:r>
            </w:hyperlink>
            <w:r w:rsidR="00562FE4">
              <w:rPr>
                <w:rFonts w:cs="Arial"/>
              </w:rPr>
              <w:t xml:space="preserve"> </w:t>
            </w:r>
          </w:p>
        </w:tc>
      </w:tr>
      <w:tr w:rsidR="00B97B5F" w:rsidRPr="003261F1" w14:paraId="26C98B55" w14:textId="77777777" w:rsidTr="00A56DBD">
        <w:trPr>
          <w:cantSplit/>
          <w:trHeight w:val="1424"/>
        </w:trPr>
        <w:tc>
          <w:tcPr>
            <w:tcW w:w="963" w:type="pct"/>
            <w:tcBorders>
              <w:top w:val="nil"/>
            </w:tcBorders>
            <w:shd w:val="clear" w:color="auto" w:fill="F2F2F2" w:themeFill="background1" w:themeFillShade="F2"/>
          </w:tcPr>
          <w:p w14:paraId="4E77AE91" w14:textId="77777777" w:rsidR="00B97B5F" w:rsidRPr="003261F1" w:rsidRDefault="00B97B5F" w:rsidP="0062270F">
            <w:pPr>
              <w:pStyle w:val="Tabletextbold"/>
              <w:rPr>
                <w:rStyle w:val="Characteritalic"/>
                <w:rFonts w:eastAsiaTheme="minorEastAsia"/>
              </w:rPr>
            </w:pPr>
            <w:bookmarkStart w:id="7" w:name="_Hlk77093574"/>
            <w:proofErr w:type="spellStart"/>
            <w:r w:rsidRPr="003261F1">
              <w:rPr>
                <w:rStyle w:val="Characteritalic"/>
                <w:rFonts w:eastAsiaTheme="minorEastAsia"/>
              </w:rPr>
              <w:t>Clostridi</w:t>
            </w:r>
            <w:r>
              <w:rPr>
                <w:rStyle w:val="Characteritalic"/>
                <w:rFonts w:eastAsiaTheme="minorEastAsia"/>
              </w:rPr>
              <w:t>oides</w:t>
            </w:r>
            <w:proofErr w:type="spellEnd"/>
            <w:r w:rsidRPr="003261F1">
              <w:rPr>
                <w:rStyle w:val="Characteritalic"/>
                <w:rFonts w:eastAsiaTheme="minorEastAsia"/>
              </w:rPr>
              <w:t xml:space="preserve"> difficile</w:t>
            </w:r>
            <w:r w:rsidRPr="00E4262F">
              <w:rPr>
                <w:rStyle w:val="Characterbold"/>
              </w:rPr>
              <w:t xml:space="preserve"> </w:t>
            </w:r>
            <w:r w:rsidRPr="00A56DBD">
              <w:rPr>
                <w:rStyle w:val="Characterbold"/>
                <w:b/>
              </w:rPr>
              <w:t>infection</w:t>
            </w:r>
          </w:p>
          <w:bookmarkEnd w:id="7"/>
          <w:p w14:paraId="15FE9CD6" w14:textId="3395E7F7" w:rsidR="003D6A0D" w:rsidRDefault="00B97B5F" w:rsidP="00B97B5F">
            <w:pPr>
              <w:pStyle w:val="Lastupdated"/>
              <w:rPr>
                <w:rFonts w:cs="Arial"/>
              </w:rPr>
            </w:pPr>
            <w:r w:rsidRPr="003261F1">
              <w:rPr>
                <w:rFonts w:cs="Arial"/>
              </w:rPr>
              <w:t>Last updated</w:t>
            </w:r>
            <w:r w:rsidR="00A56DBD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 xml:space="preserve">: </w:t>
            </w:r>
            <w:r w:rsidR="00A56DBD">
              <w:rPr>
                <w:rFonts w:cs="Arial"/>
              </w:rPr>
              <w:t>June 2021</w:t>
            </w:r>
          </w:p>
          <w:p w14:paraId="62B41483" w14:textId="497576DF" w:rsidR="00B97B5F" w:rsidRPr="00A56DBD" w:rsidRDefault="00D8014F" w:rsidP="00A56DBD">
            <w:pPr>
              <w:pStyle w:val="Lastupdated"/>
              <w:keepNext/>
              <w:rPr>
                <w:rStyle w:val="Characteritalic"/>
                <w:rFonts w:cs="Arial"/>
                <w:i w:val="0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C9B9475" w14:textId="5E016055" w:rsidR="00300934" w:rsidRDefault="00300934" w:rsidP="00A56DBD">
            <w:pPr>
              <w:pStyle w:val="Tabletextbold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Discuss all suspected or confirmed cases of </w:t>
            </w:r>
            <w:r w:rsidRPr="00300934">
              <w:rPr>
                <w:b w:val="0"/>
                <w:bCs w:val="0"/>
                <w:i/>
              </w:rPr>
              <w:t>C. difficile</w:t>
            </w:r>
            <w:r w:rsidR="00C72A39">
              <w:rPr>
                <w:b w:val="0"/>
                <w:bCs w:val="0"/>
              </w:rPr>
              <w:t xml:space="preserve"> with a microbiologist for advice on management and treatment options.</w:t>
            </w:r>
          </w:p>
          <w:p w14:paraId="4F5A9E48" w14:textId="77777777" w:rsidR="00300934" w:rsidRDefault="00300934" w:rsidP="00A56DBD">
            <w:pPr>
              <w:pStyle w:val="Tabletextbold"/>
              <w:spacing w:after="0"/>
              <w:rPr>
                <w:b w:val="0"/>
                <w:bCs w:val="0"/>
              </w:rPr>
            </w:pPr>
          </w:p>
          <w:p w14:paraId="59511391" w14:textId="28D89B6F" w:rsidR="00F80022" w:rsidRPr="00F80022" w:rsidRDefault="00F80022" w:rsidP="00A56DBD">
            <w:pPr>
              <w:pStyle w:val="Tabletextbold"/>
              <w:spacing w:after="0"/>
              <w:rPr>
                <w:rStyle w:val="Characterbold"/>
                <w:b/>
              </w:rPr>
            </w:pPr>
            <w:r>
              <w:rPr>
                <w:b w:val="0"/>
                <w:bCs w:val="0"/>
              </w:rPr>
              <w:t xml:space="preserve">Discuss with </w:t>
            </w:r>
            <w:r w:rsidRPr="00F80022">
              <w:rPr>
                <w:b w:val="0"/>
                <w:bCs w:val="0"/>
              </w:rPr>
              <w:t>Microbiologist prior to initiating treatment with</w:t>
            </w:r>
            <w:r>
              <w:rPr>
                <w:b w:val="0"/>
                <w:bCs w:val="0"/>
              </w:rPr>
              <w:t xml:space="preserve"> Fidaxomicin for</w:t>
            </w:r>
            <w:r w:rsidR="005B7548">
              <w:rPr>
                <w:b w:val="0"/>
              </w:rPr>
              <w:t xml:space="preserve"> </w:t>
            </w:r>
            <w:r w:rsidRPr="00300934">
              <w:rPr>
                <w:b w:val="0"/>
                <w:bCs w:val="0"/>
                <w:i/>
              </w:rPr>
              <w:t>C. difficile</w:t>
            </w:r>
            <w:r w:rsidRPr="00F80022">
              <w:rPr>
                <w:b w:val="0"/>
                <w:bCs w:val="0"/>
              </w:rPr>
              <w:t xml:space="preserve"> infection</w:t>
            </w:r>
            <w:r>
              <w:rPr>
                <w:rStyle w:val="Characterbold"/>
                <w:bCs w:val="0"/>
              </w:rPr>
              <w:t>.</w:t>
            </w:r>
            <w:r w:rsidR="009F1A34">
              <w:rPr>
                <w:rStyle w:val="Characterbold"/>
              </w:rPr>
              <w:t xml:space="preserve"> </w:t>
            </w:r>
          </w:p>
          <w:p w14:paraId="435131DD" w14:textId="77777777" w:rsidR="00F80022" w:rsidRDefault="00F80022" w:rsidP="00A56DBD">
            <w:pPr>
              <w:pStyle w:val="Tabletextbold"/>
              <w:spacing w:after="0"/>
              <w:rPr>
                <w:rStyle w:val="Characterbold"/>
              </w:rPr>
            </w:pPr>
          </w:p>
          <w:p w14:paraId="2ED6D5F8" w14:textId="75D978AA" w:rsidR="00B97B5F" w:rsidRPr="00F80022" w:rsidRDefault="00F80022" w:rsidP="00A56DBD">
            <w:pPr>
              <w:pStyle w:val="Tabletextbold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Please see </w:t>
            </w:r>
            <w:hyperlink r:id="rId32" w:history="1">
              <w:r>
                <w:rPr>
                  <w:rStyle w:val="Hyperlink"/>
                  <w:rFonts w:cs="Arial"/>
                  <w:b w:val="0"/>
                </w:rPr>
                <w:t>LINK</w:t>
              </w:r>
            </w:hyperlink>
            <w:r w:rsidRPr="00F80022">
              <w:rPr>
                <w:rFonts w:cs="Arial"/>
                <w:b w:val="0"/>
              </w:rPr>
              <w:t xml:space="preserve"> to visual summary</w:t>
            </w:r>
          </w:p>
          <w:p w14:paraId="434A87D8" w14:textId="77777777" w:rsidR="00F80022" w:rsidRDefault="00F80022" w:rsidP="00A56DBD">
            <w:pPr>
              <w:pStyle w:val="Tabletextbold"/>
              <w:spacing w:after="0"/>
              <w:rPr>
                <w:rFonts w:cs="Arial"/>
              </w:rPr>
            </w:pPr>
          </w:p>
          <w:p w14:paraId="3183C281" w14:textId="6EEAEFB3" w:rsidR="00CB3CE3" w:rsidRPr="003261F1" w:rsidRDefault="00CB3CE3" w:rsidP="00A56DBD">
            <w:pPr>
              <w:pStyle w:val="Tabletextbold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Additional guidance </w:t>
            </w:r>
            <w:r w:rsidR="00F80022">
              <w:rPr>
                <w:rFonts w:cs="Arial"/>
              </w:rPr>
              <w:t>regarding how to access Fidaxomi</w:t>
            </w:r>
            <w:r>
              <w:rPr>
                <w:rFonts w:cs="Arial"/>
              </w:rPr>
              <w:t xml:space="preserve">cin in primary care </w:t>
            </w:r>
            <w:r w:rsidR="00F92045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pending. This page will be updated once this has been approved.</w:t>
            </w:r>
          </w:p>
        </w:tc>
      </w:tr>
      <w:tr w:rsidR="00BA69C4" w:rsidRPr="003261F1" w14:paraId="6C548546" w14:textId="77777777" w:rsidTr="00A56DBD">
        <w:trPr>
          <w:cantSplit/>
          <w:trHeight w:val="696"/>
        </w:trPr>
        <w:tc>
          <w:tcPr>
            <w:tcW w:w="9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B57A2" w14:textId="6277087F" w:rsidR="00BA69C4" w:rsidRPr="003261F1" w:rsidRDefault="00BA69C4" w:rsidP="00A56DBD">
            <w:pPr>
              <w:pStyle w:val="Tabletextbold"/>
              <w:rPr>
                <w:rFonts w:cs="Arial"/>
              </w:rPr>
            </w:pPr>
            <w:r w:rsidRPr="003261F1">
              <w:rPr>
                <w:rStyle w:val="Characteritalic"/>
                <w:rFonts w:eastAsiaTheme="minorEastAsia"/>
              </w:rPr>
              <w:t>Helicobacter pylori</w:t>
            </w:r>
          </w:p>
          <w:p w14:paraId="180DAD02" w14:textId="4968CB7C" w:rsidR="00BA69C4" w:rsidRPr="00A56DBD" w:rsidRDefault="00BA69C4" w:rsidP="00A56DBD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3261F1">
              <w:rPr>
                <w:rFonts w:cs="Arial"/>
              </w:rPr>
              <w:t>Last updated</w:t>
            </w:r>
            <w:r w:rsidR="00A56DBD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>:</w:t>
            </w:r>
            <w:r w:rsidR="00A56DBD">
              <w:rPr>
                <w:rFonts w:cs="Arial"/>
              </w:rPr>
              <w:t xml:space="preserve"> Feb 2019</w:t>
            </w:r>
            <w:r w:rsidRPr="003261F1">
              <w:rPr>
                <w:rFonts w:cs="Arial"/>
              </w:rPr>
              <w:t xml:space="preserve"> </w:t>
            </w:r>
            <w:r w:rsidRPr="003261F1">
              <w:rPr>
                <w:rFonts w:cs="Arial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B2E052" w14:textId="0BBFD572" w:rsidR="00F14E0E" w:rsidRPr="000926AD" w:rsidRDefault="000926AD" w:rsidP="0062270F">
            <w:pPr>
              <w:pStyle w:val="Tabletextitalic"/>
              <w:rPr>
                <w:rFonts w:cs="Arial"/>
                <w:i w:val="0"/>
                <w:sz w:val="20"/>
                <w:szCs w:val="20"/>
              </w:rPr>
            </w:pPr>
            <w:r w:rsidRPr="00F14E0E">
              <w:rPr>
                <w:rFonts w:cs="Arial"/>
                <w:b/>
                <w:i w:val="0"/>
                <w:sz w:val="20"/>
                <w:szCs w:val="20"/>
              </w:rPr>
              <w:t>Furazolidone</w:t>
            </w:r>
            <w:r w:rsidR="00F14E0E" w:rsidRPr="00F14E0E">
              <w:rPr>
                <w:rFonts w:cs="Arial"/>
                <w:b/>
                <w:i w:val="0"/>
                <w:sz w:val="20"/>
                <w:szCs w:val="20"/>
              </w:rPr>
              <w:t xml:space="preserve"> is </w:t>
            </w:r>
            <w:r w:rsidRPr="00F14E0E">
              <w:rPr>
                <w:rFonts w:cs="Arial"/>
                <w:b/>
                <w:i w:val="0"/>
                <w:sz w:val="20"/>
                <w:szCs w:val="20"/>
              </w:rPr>
              <w:t>not recommen</w:t>
            </w:r>
            <w:r w:rsidR="00F14E0E" w:rsidRPr="00F14E0E">
              <w:rPr>
                <w:rFonts w:cs="Arial"/>
                <w:b/>
                <w:i w:val="0"/>
                <w:sz w:val="20"/>
                <w:szCs w:val="20"/>
              </w:rPr>
              <w:t>ded</w:t>
            </w:r>
            <w:r w:rsidR="00F14E0E">
              <w:rPr>
                <w:rFonts w:cs="Arial"/>
                <w:i w:val="0"/>
                <w:sz w:val="20"/>
                <w:szCs w:val="20"/>
              </w:rPr>
              <w:t xml:space="preserve"> for use in Kent and Medway due </w:t>
            </w:r>
            <w:r w:rsidR="00F14E0E" w:rsidRPr="00F14E0E">
              <w:rPr>
                <w:rFonts w:cs="Arial"/>
                <w:i w:val="0"/>
                <w:sz w:val="20"/>
                <w:szCs w:val="20"/>
              </w:rPr>
              <w:t>to a lack of local familiarity with</w:t>
            </w:r>
            <w:r w:rsidR="00F14E0E">
              <w:rPr>
                <w:rFonts w:cs="Arial"/>
                <w:i w:val="0"/>
                <w:sz w:val="20"/>
                <w:szCs w:val="20"/>
              </w:rPr>
              <w:t xml:space="preserve"> the drug.</w:t>
            </w:r>
          </w:p>
        </w:tc>
      </w:tr>
      <w:tr w:rsidR="002C52D1" w:rsidRPr="003261F1" w14:paraId="75053BAF" w14:textId="77777777" w:rsidTr="00BF6BE6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17489"/>
          </w:tcPr>
          <w:p w14:paraId="4FBBDC74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t></w:t>
            </w:r>
            <w:r w:rsidRPr="00E63CA7">
              <w:rPr>
                <w:rStyle w:val="Tablesubheadingarrow"/>
              </w:rPr>
              <w:t></w:t>
            </w:r>
            <w:bookmarkStart w:id="8" w:name="Genital"/>
            <w:r w:rsidRPr="003261F1">
              <w:rPr>
                <w:rFonts w:eastAsia="Arial" w:cs="Arial"/>
              </w:rPr>
              <w:t xml:space="preserve">Genital </w:t>
            </w:r>
            <w:bookmarkEnd w:id="8"/>
            <w:r w:rsidRPr="003261F1">
              <w:rPr>
                <w:rFonts w:eastAsia="Arial" w:cs="Arial"/>
              </w:rPr>
              <w:t>tract infections</w:t>
            </w:r>
          </w:p>
        </w:tc>
      </w:tr>
      <w:tr w:rsidR="00C145EC" w:rsidRPr="003261F1" w14:paraId="2D94D340" w14:textId="77777777" w:rsidTr="009D0F78">
        <w:trPr>
          <w:cantSplit/>
          <w:trHeight w:val="706"/>
        </w:trPr>
        <w:tc>
          <w:tcPr>
            <w:tcW w:w="963" w:type="pct"/>
            <w:shd w:val="clear" w:color="auto" w:fill="auto"/>
          </w:tcPr>
          <w:p w14:paraId="44C6E2B7" w14:textId="1C5CE704" w:rsidR="00C145EC" w:rsidRPr="003261F1" w:rsidRDefault="00C145EC" w:rsidP="0062270F">
            <w:pPr>
              <w:pStyle w:val="Tabletextbold"/>
              <w:keepNext/>
              <w:rPr>
                <w:rFonts w:cs="Arial"/>
              </w:rPr>
            </w:pPr>
            <w:r w:rsidRPr="003261F1">
              <w:rPr>
                <w:rFonts w:cs="Arial"/>
              </w:rPr>
              <w:t>Epididymitis</w:t>
            </w:r>
          </w:p>
          <w:p w14:paraId="1CF44D24" w14:textId="1927CBB4" w:rsidR="00C145EC" w:rsidRPr="00D012C1" w:rsidRDefault="00C145EC" w:rsidP="003D6A0D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3261F1">
              <w:rPr>
                <w:rFonts w:cs="Arial"/>
              </w:rPr>
              <w:t>Last updated</w:t>
            </w:r>
            <w:r w:rsidR="00D012C1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 xml:space="preserve">: </w:t>
            </w:r>
            <w:r w:rsidR="005F0960">
              <w:rPr>
                <w:rFonts w:cs="Arial"/>
              </w:rPr>
              <w:t>Nov 2017</w:t>
            </w:r>
            <w:r w:rsidRPr="003261F1">
              <w:rPr>
                <w:rFonts w:cs="Arial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auto"/>
          </w:tcPr>
          <w:p w14:paraId="63401C91" w14:textId="7B009EF7" w:rsidR="005F0960" w:rsidRPr="003261F1" w:rsidRDefault="009D0F78" w:rsidP="005F0960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Additional information to guide antibiotic choice is available in the </w:t>
            </w:r>
            <w:hyperlink r:id="rId33" w:history="1">
              <w:r w:rsidRPr="009D0F78">
                <w:rPr>
                  <w:rStyle w:val="Hyperlink"/>
                  <w:rFonts w:cs="Arial"/>
                </w:rPr>
                <w:t>BASSH guideline</w:t>
              </w:r>
              <w:r w:rsidR="005F0960">
                <w:rPr>
                  <w:rStyle w:val="Hyperlink"/>
                  <w:rFonts w:cs="Arial"/>
                </w:rPr>
                <w:t xml:space="preserve">s for the management of </w:t>
              </w:r>
              <w:proofErr w:type="spellStart"/>
              <w:r w:rsidR="005F0960">
                <w:rPr>
                  <w:rStyle w:val="Hyperlink"/>
                  <w:rFonts w:cs="Arial"/>
                </w:rPr>
                <w:t>epididymo</w:t>
              </w:r>
              <w:proofErr w:type="spellEnd"/>
              <w:r w:rsidR="005F0960">
                <w:rPr>
                  <w:rStyle w:val="Hyperlink"/>
                  <w:rFonts w:cs="Arial"/>
                </w:rPr>
                <w:t xml:space="preserve">-orchitis </w:t>
              </w:r>
            </w:hyperlink>
            <w:r>
              <w:rPr>
                <w:rFonts w:cs="Arial"/>
              </w:rPr>
              <w:t xml:space="preserve"> (September 2020).</w:t>
            </w:r>
            <w:r w:rsidR="005F0960">
              <w:rPr>
                <w:rFonts w:cs="Arial"/>
              </w:rPr>
              <w:t xml:space="preserve"> For patients with a risk factor of STI doxycycline is the drug of choice + GUM referral.</w:t>
            </w:r>
          </w:p>
        </w:tc>
      </w:tr>
      <w:tr w:rsidR="00D021A8" w:rsidRPr="003261F1" w14:paraId="622B5672" w14:textId="77777777" w:rsidTr="001B0730">
        <w:trPr>
          <w:cantSplit/>
          <w:trHeight w:val="829"/>
        </w:trPr>
        <w:tc>
          <w:tcPr>
            <w:tcW w:w="963" w:type="pct"/>
            <w:shd w:val="clear" w:color="auto" w:fill="F4F4F4"/>
          </w:tcPr>
          <w:p w14:paraId="3459EE2E" w14:textId="39368106" w:rsidR="00D021A8" w:rsidRPr="003261F1" w:rsidRDefault="00D021A8" w:rsidP="0062270F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Genital herpes</w:t>
            </w:r>
          </w:p>
          <w:p w14:paraId="709D3959" w14:textId="756D5097" w:rsidR="00D021A8" w:rsidRPr="005F0960" w:rsidRDefault="00D021A8" w:rsidP="005F096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3261F1">
              <w:rPr>
                <w:rFonts w:cs="Arial"/>
              </w:rPr>
              <w:t>Last updated</w:t>
            </w:r>
            <w:r w:rsidR="005F0960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>:</w:t>
            </w:r>
            <w:r w:rsidR="005F0960">
              <w:rPr>
                <w:rFonts w:cs="Arial"/>
              </w:rPr>
              <w:t xml:space="preserve"> Nov 2017</w:t>
            </w:r>
            <w:r w:rsidRPr="003261F1">
              <w:rPr>
                <w:rFonts w:cs="Arial"/>
              </w:rPr>
              <w:t xml:space="preserve"> </w:t>
            </w:r>
            <w:r w:rsidRPr="003261F1">
              <w:rPr>
                <w:rFonts w:cs="Arial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F4F4F4"/>
          </w:tcPr>
          <w:p w14:paraId="0D71496D" w14:textId="36CE1A00" w:rsidR="00624937" w:rsidRPr="00624937" w:rsidRDefault="00624937" w:rsidP="00D021A8">
            <w:pPr>
              <w:pStyle w:val="Tabletextitalic"/>
              <w:rPr>
                <w:rFonts w:cs="Arial"/>
                <w:i w:val="0"/>
                <w:sz w:val="20"/>
                <w:szCs w:val="20"/>
              </w:rPr>
            </w:pPr>
            <w:r w:rsidRPr="00624937">
              <w:rPr>
                <w:rFonts w:cs="Arial"/>
                <w:i w:val="0"/>
                <w:sz w:val="20"/>
                <w:szCs w:val="20"/>
              </w:rPr>
              <w:t>F</w:t>
            </w:r>
            <w:r>
              <w:rPr>
                <w:rFonts w:cs="Arial"/>
                <w:i w:val="0"/>
                <w:sz w:val="20"/>
                <w:szCs w:val="20"/>
              </w:rPr>
              <w:t xml:space="preserve">irst line: </w:t>
            </w:r>
            <w:proofErr w:type="spellStart"/>
            <w:r w:rsidRPr="00624937">
              <w:rPr>
                <w:rFonts w:cs="Arial"/>
                <w:i w:val="0"/>
                <w:sz w:val="20"/>
                <w:szCs w:val="20"/>
              </w:rPr>
              <w:t>A</w:t>
            </w:r>
            <w:r w:rsidR="006C7206" w:rsidRPr="00624937">
              <w:rPr>
                <w:rFonts w:cs="Arial"/>
                <w:i w:val="0"/>
                <w:sz w:val="20"/>
                <w:szCs w:val="20"/>
              </w:rPr>
              <w:t>ciclovir</w:t>
            </w:r>
            <w:proofErr w:type="spellEnd"/>
          </w:p>
          <w:p w14:paraId="0335D39F" w14:textId="5C89BEC5" w:rsidR="00D021A8" w:rsidRPr="00624937" w:rsidRDefault="00624937" w:rsidP="00D021A8">
            <w:pPr>
              <w:pStyle w:val="Tabletextitalic"/>
              <w:rPr>
                <w:rFonts w:cs="Arial"/>
                <w:i w:val="0"/>
                <w:sz w:val="20"/>
                <w:szCs w:val="20"/>
              </w:rPr>
            </w:pPr>
            <w:r w:rsidRPr="00624937">
              <w:rPr>
                <w:rFonts w:cs="Arial"/>
                <w:i w:val="0"/>
                <w:sz w:val="20"/>
                <w:szCs w:val="20"/>
              </w:rPr>
              <w:t>Seek microbiologist advice if immunocompromised.</w:t>
            </w:r>
          </w:p>
          <w:p w14:paraId="5AAE0CBB" w14:textId="37C467DA" w:rsidR="00624937" w:rsidRPr="003261F1" w:rsidRDefault="00624937" w:rsidP="00D021A8">
            <w:pPr>
              <w:pStyle w:val="Tabletextitalic"/>
              <w:rPr>
                <w:rFonts w:cs="Arial"/>
              </w:rPr>
            </w:pPr>
            <w:r>
              <w:rPr>
                <w:rFonts w:cs="Arial"/>
                <w:i w:val="0"/>
                <w:sz w:val="20"/>
                <w:szCs w:val="20"/>
              </w:rPr>
              <w:t>Refer to GUM c</w:t>
            </w:r>
            <w:r w:rsidRPr="00624937">
              <w:rPr>
                <w:rFonts w:cs="Arial"/>
                <w:i w:val="0"/>
                <w:sz w:val="20"/>
                <w:szCs w:val="20"/>
              </w:rPr>
              <w:t>linic</w:t>
            </w:r>
          </w:p>
        </w:tc>
      </w:tr>
      <w:tr w:rsidR="00D021A8" w:rsidRPr="003261F1" w14:paraId="48AFFBF9" w14:textId="77777777" w:rsidTr="00DB2BDD">
        <w:trPr>
          <w:cantSplit/>
          <w:trHeight w:val="565"/>
        </w:trPr>
        <w:tc>
          <w:tcPr>
            <w:tcW w:w="963" w:type="pct"/>
            <w:shd w:val="clear" w:color="auto" w:fill="auto"/>
          </w:tcPr>
          <w:p w14:paraId="33A03E90" w14:textId="1DB91884" w:rsidR="00D021A8" w:rsidRPr="003261F1" w:rsidRDefault="001B0730" w:rsidP="0062270F">
            <w:pPr>
              <w:pStyle w:val="Tabletextbold"/>
              <w:keepNext/>
              <w:rPr>
                <w:rFonts w:cs="Arial"/>
              </w:rPr>
            </w:pPr>
            <w:r>
              <w:rPr>
                <w:rFonts w:cs="Arial"/>
              </w:rPr>
              <w:lastRenderedPageBreak/>
              <w:t>G</w:t>
            </w:r>
            <w:r w:rsidR="00D021A8" w:rsidRPr="003261F1">
              <w:rPr>
                <w:rFonts w:cs="Arial"/>
              </w:rPr>
              <w:t>onorrhoea</w:t>
            </w:r>
          </w:p>
          <w:p w14:paraId="258CEA6A" w14:textId="54CDC099" w:rsidR="00D021A8" w:rsidRPr="001B0730" w:rsidRDefault="00D021A8" w:rsidP="003D6A0D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3261F1">
              <w:rPr>
                <w:rFonts w:cs="Arial"/>
              </w:rPr>
              <w:t>Last updated</w:t>
            </w:r>
            <w:r w:rsidR="001B0730">
              <w:rPr>
                <w:rFonts w:cs="Arial"/>
              </w:rPr>
              <w:t xml:space="preserve"> by NICE/PHE</w:t>
            </w:r>
            <w:r w:rsidRPr="003261F1">
              <w:rPr>
                <w:rFonts w:cs="Arial"/>
              </w:rPr>
              <w:t>:</w:t>
            </w:r>
            <w:r w:rsidR="001B0730">
              <w:rPr>
                <w:rFonts w:cs="Arial"/>
              </w:rPr>
              <w:t xml:space="preserve"> Feb 2019</w:t>
            </w:r>
            <w:r w:rsidRPr="003261F1">
              <w:rPr>
                <w:rFonts w:cs="Arial"/>
              </w:rPr>
              <w:t xml:space="preserve"> </w:t>
            </w:r>
            <w:r w:rsidRPr="003261F1">
              <w:rPr>
                <w:rFonts w:cs="Arial"/>
              </w:rPr>
              <w:br/>
            </w:r>
            <w:r w:rsidR="00D8014F"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auto"/>
          </w:tcPr>
          <w:p w14:paraId="39BAA746" w14:textId="6406B9EF" w:rsidR="00D021A8" w:rsidRPr="003261F1" w:rsidRDefault="006C7206" w:rsidP="00DB2BDD">
            <w:pPr>
              <w:pStyle w:val="Tabletextitalic"/>
              <w:keepNext/>
              <w:rPr>
                <w:rFonts w:cs="Arial"/>
              </w:rPr>
            </w:pPr>
            <w:r w:rsidRPr="006C7206">
              <w:rPr>
                <w:rFonts w:cs="Arial"/>
                <w:i w:val="0"/>
                <w:sz w:val="20"/>
                <w:szCs w:val="20"/>
              </w:rPr>
              <w:t>Refer to GUM clinic.</w:t>
            </w:r>
          </w:p>
        </w:tc>
      </w:tr>
      <w:tr w:rsidR="002C52D1" w:rsidRPr="003261F1" w14:paraId="76F46B26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424BF4A0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t></w:t>
            </w:r>
            <w:r w:rsidRPr="00E63CA7">
              <w:rPr>
                <w:rStyle w:val="Tablesubheadingarrow"/>
              </w:rPr>
              <w:t></w:t>
            </w:r>
            <w:bookmarkStart w:id="9" w:name="Skin"/>
            <w:r w:rsidRPr="003261F1">
              <w:rPr>
                <w:rFonts w:eastAsia="Arial" w:cs="Arial"/>
              </w:rPr>
              <w:t xml:space="preserve">Skin </w:t>
            </w:r>
            <w:bookmarkEnd w:id="9"/>
            <w:r w:rsidRPr="003261F1">
              <w:rPr>
                <w:rFonts w:eastAsia="Arial" w:cs="Arial"/>
              </w:rPr>
              <w:t>and soft tissue infections</w:t>
            </w:r>
          </w:p>
        </w:tc>
      </w:tr>
      <w:tr w:rsidR="002C52D1" w:rsidRPr="003261F1" w14:paraId="63985D94" w14:textId="77777777" w:rsidTr="00BF6BE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9BF8685" w14:textId="77777777" w:rsidR="002C52D1" w:rsidRPr="003261F1" w:rsidRDefault="002C52D1" w:rsidP="0062270F">
            <w:pPr>
              <w:pStyle w:val="Tabletextitalic"/>
              <w:keepNext/>
              <w:rPr>
                <w:rFonts w:cs="Arial"/>
              </w:rPr>
            </w:pPr>
            <w:r w:rsidRPr="003261F1">
              <w:rPr>
                <w:rFonts w:cs="Arial"/>
              </w:rPr>
              <w:t xml:space="preserve">Note: Refer to </w:t>
            </w:r>
            <w:hyperlink r:id="rId34" w:history="1">
              <w:r w:rsidRPr="003261F1">
                <w:rPr>
                  <w:rStyle w:val="Hyperlink"/>
                  <w:rFonts w:cs="Arial"/>
                </w:rPr>
                <w:t>RCGP Skin Infections</w:t>
              </w:r>
            </w:hyperlink>
            <w:r w:rsidRPr="003261F1">
              <w:rPr>
                <w:rFonts w:cs="Arial"/>
              </w:rPr>
              <w:t xml:space="preserve"> online training.</w:t>
            </w:r>
            <w:r w:rsidRPr="003261F1">
              <w:rPr>
                <w:rStyle w:val="Charactersuperscript"/>
                <w:rFonts w:cs="Arial"/>
              </w:rPr>
              <w:t>1D</w:t>
            </w:r>
            <w:r w:rsidRPr="003261F1">
              <w:rPr>
                <w:rFonts w:cs="Arial"/>
              </w:rPr>
              <w:t xml:space="preserve"> For MRSA, discuss therapy with microbiologist.</w:t>
            </w:r>
            <w:r w:rsidRPr="003261F1">
              <w:rPr>
                <w:rStyle w:val="Charactersuperscript"/>
                <w:rFonts w:cs="Arial"/>
              </w:rPr>
              <w:t>1D</w:t>
            </w:r>
          </w:p>
        </w:tc>
      </w:tr>
      <w:tr w:rsidR="00D021A8" w:rsidRPr="003261F1" w14:paraId="2F7B3B6E" w14:textId="77777777" w:rsidTr="006453E9">
        <w:trPr>
          <w:cantSplit/>
          <w:trHeight w:val="924"/>
        </w:trPr>
        <w:tc>
          <w:tcPr>
            <w:tcW w:w="963" w:type="pct"/>
            <w:shd w:val="clear" w:color="auto" w:fill="F2F2F2" w:themeFill="background1" w:themeFillShade="F2"/>
          </w:tcPr>
          <w:p w14:paraId="3CAFF236" w14:textId="77777777" w:rsidR="00D021A8" w:rsidRPr="003261F1" w:rsidRDefault="00D021A8" w:rsidP="0062270F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Eczema (bacterial infection)</w:t>
            </w:r>
          </w:p>
          <w:p w14:paraId="5FA64DC7" w14:textId="6B8D7167" w:rsidR="00D021A8" w:rsidRDefault="00D021A8" w:rsidP="00D021A8">
            <w:pPr>
              <w:pStyle w:val="Lastupdated"/>
              <w:rPr>
                <w:rFonts w:cs="Arial"/>
              </w:rPr>
            </w:pPr>
            <w:r w:rsidRPr="003261F1">
              <w:rPr>
                <w:rFonts w:cs="Arial"/>
              </w:rPr>
              <w:t>Last updated</w:t>
            </w:r>
            <w:r w:rsidR="001B0730">
              <w:rPr>
                <w:rFonts w:cs="Arial"/>
              </w:rPr>
              <w:t xml:space="preserve"> by NICE/PHE: Mar 2021</w:t>
            </w:r>
          </w:p>
          <w:p w14:paraId="44EBCF18" w14:textId="017C5CB9" w:rsidR="003D6A0D" w:rsidRPr="001B0730" w:rsidRDefault="00D8014F" w:rsidP="001B073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F2F2F2" w:themeFill="background1" w:themeFillShade="F2"/>
          </w:tcPr>
          <w:p w14:paraId="7AA8B380" w14:textId="5A461716" w:rsidR="00890963" w:rsidRPr="00220D56" w:rsidRDefault="00890963" w:rsidP="0062270F">
            <w:pPr>
              <w:pStyle w:val="Tabletext"/>
              <w:rPr>
                <w:rStyle w:val="Characteritalic"/>
                <w:rFonts w:eastAsiaTheme="minorEastAsia"/>
                <w:iCs/>
              </w:rPr>
            </w:pPr>
            <w:r>
              <w:rPr>
                <w:rStyle w:val="Characteritalic"/>
                <w:rFonts w:eastAsiaTheme="minorEastAsia"/>
                <w:i w:val="0"/>
                <w:iCs/>
              </w:rPr>
              <w:t>P</w:t>
            </w:r>
            <w:r>
              <w:rPr>
                <w:rStyle w:val="Characteritalic"/>
                <w:rFonts w:eastAsiaTheme="minorEastAsia"/>
                <w:iCs/>
              </w:rPr>
              <w:t xml:space="preserve">lease note </w:t>
            </w:r>
            <w:r>
              <w:rPr>
                <w:rStyle w:val="Characteritalic"/>
                <w:rFonts w:eastAsiaTheme="minorEastAsia"/>
                <w:i w:val="0"/>
                <w:iCs/>
              </w:rPr>
              <w:t>Fusidic acid 2%- Antimicrobial resistance can develop rapidly with extended or repeated use</w:t>
            </w:r>
          </w:p>
          <w:p w14:paraId="05F1FCC8" w14:textId="564E9DFF" w:rsidR="00D021A8" w:rsidRPr="003261F1" w:rsidRDefault="006453E9" w:rsidP="006453E9">
            <w:pPr>
              <w:pStyle w:val="Tabletext"/>
              <w:rPr>
                <w:rStyle w:val="Characteritalic"/>
                <w:rFonts w:eastAsiaTheme="minorEastAsia"/>
              </w:rPr>
            </w:pPr>
            <w:r w:rsidRPr="006453E9">
              <w:rPr>
                <w:rStyle w:val="Characteritalic"/>
                <w:rFonts w:eastAsiaTheme="minorEastAsia"/>
                <w:i w:val="0"/>
                <w:iCs/>
              </w:rPr>
              <w:t xml:space="preserve">Please see </w:t>
            </w:r>
            <w:hyperlink r:id="rId35" w:history="1">
              <w:r w:rsidRPr="006453E9">
                <w:rPr>
                  <w:rStyle w:val="Hyperlink"/>
                  <w:rFonts w:eastAsiaTheme="minorEastAsia"/>
                  <w:iCs/>
                </w:rPr>
                <w:t>LINK</w:t>
              </w:r>
            </w:hyperlink>
            <w:r w:rsidRPr="006453E9">
              <w:rPr>
                <w:rStyle w:val="Characteritalic"/>
                <w:rFonts w:eastAsiaTheme="minorEastAsia"/>
                <w:i w:val="0"/>
                <w:iCs/>
              </w:rPr>
              <w:t xml:space="preserve"> to visual summary</w:t>
            </w:r>
          </w:p>
        </w:tc>
      </w:tr>
      <w:tr w:rsidR="00101C54" w:rsidRPr="003261F1" w14:paraId="55B50A3B" w14:textId="77777777" w:rsidTr="001B0730">
        <w:trPr>
          <w:cantSplit/>
          <w:trHeight w:val="765"/>
        </w:trPr>
        <w:tc>
          <w:tcPr>
            <w:tcW w:w="963" w:type="pct"/>
            <w:shd w:val="clear" w:color="auto" w:fill="auto"/>
          </w:tcPr>
          <w:p w14:paraId="7493AD2F" w14:textId="486F08D0" w:rsidR="00101C54" w:rsidRPr="003261F1" w:rsidRDefault="00101C54" w:rsidP="007A5006">
            <w:pPr>
              <w:pStyle w:val="Tabletextbold"/>
              <w:rPr>
                <w:rFonts w:cs="Arial"/>
              </w:rPr>
            </w:pPr>
            <w:bookmarkStart w:id="10" w:name="_Hlk62806967"/>
            <w:bookmarkStart w:id="11" w:name="_Hlk62807008"/>
            <w:r w:rsidRPr="003261F1">
              <w:rPr>
                <w:rFonts w:cs="Arial"/>
              </w:rPr>
              <w:t>Impetigo</w:t>
            </w:r>
          </w:p>
          <w:p w14:paraId="5ACA3BF2" w14:textId="6C1A1886" w:rsidR="00101C54" w:rsidRDefault="001B0730" w:rsidP="00101C54">
            <w:pPr>
              <w:pStyle w:val="Lastupdated"/>
              <w:rPr>
                <w:rFonts w:cs="Arial"/>
              </w:rPr>
            </w:pPr>
            <w:r>
              <w:rPr>
                <w:rFonts w:cs="Arial"/>
              </w:rPr>
              <w:t>Last updated by NICE/PHE: Feb 2020</w:t>
            </w:r>
          </w:p>
          <w:p w14:paraId="6067D4B1" w14:textId="1729865B" w:rsidR="003D6A0D" w:rsidRPr="001B0730" w:rsidRDefault="00D8014F" w:rsidP="001B073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auto"/>
          </w:tcPr>
          <w:p w14:paraId="244AC29A" w14:textId="47F8D87D" w:rsidR="006453E9" w:rsidRDefault="006453E9" w:rsidP="006453E9">
            <w:pPr>
              <w:pStyle w:val="Tabletext"/>
            </w:pPr>
            <w:r>
              <w:t xml:space="preserve">This bulletin provides information on </w:t>
            </w:r>
            <w:hyperlink r:id="rId36" w:history="1">
              <w:r w:rsidRPr="006453E9">
                <w:rPr>
                  <w:rStyle w:val="Hyperlink"/>
                </w:rPr>
                <w:t>hydrogen peroxide 1% cream and its use in impetigo</w:t>
              </w:r>
            </w:hyperlink>
          </w:p>
          <w:p w14:paraId="0A576471" w14:textId="34F5ACE4" w:rsidR="00101C54" w:rsidRPr="006453E9" w:rsidRDefault="006453E9" w:rsidP="0062270F">
            <w:pPr>
              <w:pStyle w:val="Tabletext"/>
              <w:rPr>
                <w:rStyle w:val="Characteritalic"/>
                <w:rFonts w:eastAsiaTheme="minorEastAsia"/>
                <w:i w:val="0"/>
              </w:rPr>
            </w:pPr>
            <w:r w:rsidRPr="006453E9">
              <w:rPr>
                <w:rStyle w:val="Characteritalic"/>
                <w:rFonts w:eastAsiaTheme="minorEastAsia"/>
                <w:i w:val="0"/>
              </w:rPr>
              <w:t xml:space="preserve">Please see </w:t>
            </w:r>
            <w:hyperlink r:id="rId37" w:history="1">
              <w:r w:rsidRPr="006453E9">
                <w:rPr>
                  <w:rStyle w:val="Hyperlink"/>
                  <w:rFonts w:eastAsiaTheme="minorEastAsia"/>
                </w:rPr>
                <w:t>LINK</w:t>
              </w:r>
            </w:hyperlink>
            <w:r w:rsidRPr="006453E9">
              <w:rPr>
                <w:rStyle w:val="Characteritalic"/>
                <w:rFonts w:eastAsiaTheme="minorEastAsia"/>
                <w:i w:val="0"/>
              </w:rPr>
              <w:t xml:space="preserve"> to visual summary</w:t>
            </w:r>
          </w:p>
        </w:tc>
      </w:tr>
      <w:bookmarkEnd w:id="10"/>
      <w:bookmarkEnd w:id="11"/>
      <w:tr w:rsidR="006C179D" w:rsidRPr="003261F1" w14:paraId="4537C75C" w14:textId="77777777" w:rsidTr="001B0730">
        <w:trPr>
          <w:cantSplit/>
          <w:trHeight w:val="2662"/>
        </w:trPr>
        <w:tc>
          <w:tcPr>
            <w:tcW w:w="963" w:type="pct"/>
            <w:tcBorders>
              <w:top w:val="nil"/>
            </w:tcBorders>
            <w:shd w:val="clear" w:color="auto" w:fill="F2F2F2" w:themeFill="background1" w:themeFillShade="F2"/>
          </w:tcPr>
          <w:p w14:paraId="60033DD4" w14:textId="2C0B6EEC" w:rsidR="006C179D" w:rsidRPr="003261F1" w:rsidRDefault="006C179D" w:rsidP="001B0730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Leg ulcer infection</w:t>
            </w:r>
          </w:p>
          <w:p w14:paraId="040651B1" w14:textId="15E578CA" w:rsidR="006C179D" w:rsidRDefault="001B0730" w:rsidP="006C179D">
            <w:pPr>
              <w:pStyle w:val="Lastupdated"/>
              <w:rPr>
                <w:rFonts w:cs="Arial"/>
              </w:rPr>
            </w:pPr>
            <w:r>
              <w:rPr>
                <w:rFonts w:cs="Arial"/>
              </w:rPr>
              <w:t>Last updated by NICE/PHE: Feb 2020</w:t>
            </w:r>
          </w:p>
          <w:p w14:paraId="7767D530" w14:textId="2D39E64D" w:rsidR="003D6A0D" w:rsidRPr="001B0730" w:rsidRDefault="00D8014F" w:rsidP="001B073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FF67C65" w14:textId="4EC0CC13" w:rsidR="006453E9" w:rsidRDefault="006453E9" w:rsidP="0062270F">
            <w:pPr>
              <w:pStyle w:val="Tabletextitalic"/>
              <w:spacing w:after="0"/>
              <w:rPr>
                <w:rFonts w:cs="Arial"/>
                <w:b/>
                <w:bCs/>
                <w:i w:val="0"/>
                <w:iCs/>
                <w:sz w:val="20"/>
                <w:szCs w:val="28"/>
              </w:rPr>
            </w:pPr>
            <w:r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>NICE guidance has been adapted locally to clarify that co-amoxiclav and co-trimoxazole should be considered</w:t>
            </w:r>
            <w:r w:rsidR="0065348B"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 xml:space="preserve"> as third choice options:</w:t>
            </w:r>
          </w:p>
          <w:p w14:paraId="64453E5E" w14:textId="77777777" w:rsidR="006453E9" w:rsidRDefault="006453E9" w:rsidP="0062270F">
            <w:pPr>
              <w:pStyle w:val="Tabletextitalic"/>
              <w:spacing w:after="0"/>
              <w:rPr>
                <w:rFonts w:cs="Arial"/>
                <w:b/>
                <w:bCs/>
                <w:i w:val="0"/>
                <w:iCs/>
                <w:sz w:val="20"/>
                <w:szCs w:val="28"/>
              </w:rPr>
            </w:pPr>
          </w:p>
          <w:p w14:paraId="6211AB56" w14:textId="77777777" w:rsidR="006A346F" w:rsidRPr="00B26794" w:rsidRDefault="006A346F" w:rsidP="0062270F">
            <w:pPr>
              <w:pStyle w:val="Tabletextitalic"/>
              <w:spacing w:after="0"/>
              <w:rPr>
                <w:rFonts w:cs="Arial"/>
                <w:b/>
                <w:bCs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 xml:space="preserve">First choice </w:t>
            </w:r>
          </w:p>
          <w:p w14:paraId="7CDA45E4" w14:textId="5AE6DC61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i w:val="0"/>
                <w:iCs/>
                <w:sz w:val="20"/>
                <w:szCs w:val="28"/>
              </w:rPr>
              <w:t>Flucloxacillin</w:t>
            </w:r>
          </w:p>
          <w:p w14:paraId="7B5781EC" w14:textId="77777777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</w:p>
          <w:p w14:paraId="13C987DB" w14:textId="7CDFFFD0" w:rsidR="006A346F" w:rsidRPr="00B26794" w:rsidRDefault="006453E9" w:rsidP="0062270F">
            <w:pPr>
              <w:pStyle w:val="Tabletextitalic"/>
              <w:spacing w:after="0"/>
              <w:rPr>
                <w:rFonts w:cs="Arial"/>
                <w:b/>
                <w:bCs/>
                <w:i w:val="0"/>
                <w:iCs/>
                <w:sz w:val="20"/>
                <w:szCs w:val="28"/>
              </w:rPr>
            </w:pPr>
            <w:r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>Second choice, p</w:t>
            </w:r>
            <w:r w:rsidR="006A346F" w:rsidRPr="00B26794"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>enicillin allergy or if flucloxacillin unsuitable</w:t>
            </w:r>
            <w:r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>/treatment failure</w:t>
            </w:r>
            <w:r w:rsidR="006A346F" w:rsidRPr="00B26794"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 xml:space="preserve"> </w:t>
            </w:r>
          </w:p>
          <w:p w14:paraId="58FDCC51" w14:textId="1878180C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i w:val="0"/>
                <w:iCs/>
                <w:sz w:val="20"/>
                <w:szCs w:val="28"/>
              </w:rPr>
              <w:t>Doxycycline OR</w:t>
            </w:r>
          </w:p>
          <w:p w14:paraId="523F50B6" w14:textId="4F609B5A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i w:val="0"/>
                <w:iCs/>
                <w:sz w:val="20"/>
                <w:szCs w:val="28"/>
              </w:rPr>
              <w:t>Clarithromycin OR</w:t>
            </w:r>
          </w:p>
          <w:p w14:paraId="48349EF1" w14:textId="26C16ECB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i w:val="0"/>
                <w:iCs/>
                <w:sz w:val="20"/>
                <w:szCs w:val="28"/>
              </w:rPr>
              <w:t>Erythromycin (in pregnancy)</w:t>
            </w:r>
          </w:p>
          <w:p w14:paraId="65C42F72" w14:textId="325D101E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</w:p>
          <w:p w14:paraId="3740115C" w14:textId="274DD7AE" w:rsidR="006A346F" w:rsidRPr="00B26794" w:rsidRDefault="006A346F" w:rsidP="0062270F">
            <w:pPr>
              <w:pStyle w:val="Tabletextitalic"/>
              <w:spacing w:after="0"/>
              <w:rPr>
                <w:rFonts w:cs="Arial"/>
                <w:b/>
                <w:bCs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b/>
                <w:bCs/>
                <w:i w:val="0"/>
                <w:iCs/>
                <w:sz w:val="20"/>
                <w:szCs w:val="28"/>
              </w:rPr>
              <w:t>Third Choice</w:t>
            </w:r>
          </w:p>
          <w:p w14:paraId="705808B9" w14:textId="2C5CA74F" w:rsidR="006A346F" w:rsidRPr="00B26794" w:rsidRDefault="006A346F" w:rsidP="0062270F">
            <w:pPr>
              <w:pStyle w:val="Tabletextitalic"/>
              <w:spacing w:after="0"/>
              <w:rPr>
                <w:rFonts w:cs="Arial"/>
                <w:i w:val="0"/>
                <w:iCs/>
                <w:sz w:val="20"/>
                <w:szCs w:val="28"/>
              </w:rPr>
            </w:pPr>
            <w:r w:rsidRPr="00B26794">
              <w:rPr>
                <w:rFonts w:cs="Arial"/>
                <w:i w:val="0"/>
                <w:iCs/>
                <w:sz w:val="20"/>
                <w:szCs w:val="28"/>
              </w:rPr>
              <w:t>Co-amoxiclav OR</w:t>
            </w:r>
          </w:p>
          <w:p w14:paraId="656A9735" w14:textId="7E7C8CA8" w:rsidR="00BF6BE6" w:rsidRPr="00BF6BE6" w:rsidRDefault="006A346F" w:rsidP="001B0730">
            <w:pPr>
              <w:pStyle w:val="Tabletextitalic"/>
              <w:spacing w:after="0"/>
            </w:pPr>
            <w:r w:rsidRPr="00B26794">
              <w:rPr>
                <w:rFonts w:cs="Arial"/>
                <w:i w:val="0"/>
                <w:iCs/>
                <w:sz w:val="20"/>
                <w:szCs w:val="28"/>
              </w:rPr>
              <w:t>Co-trimoxazole</w:t>
            </w:r>
            <w:r w:rsidR="00BF6BE6">
              <w:tab/>
            </w:r>
          </w:p>
        </w:tc>
      </w:tr>
      <w:tr w:rsidR="002E7217" w:rsidRPr="003261F1" w14:paraId="5D8663AE" w14:textId="77777777" w:rsidTr="001B0730">
        <w:trPr>
          <w:cantSplit/>
          <w:trHeight w:val="843"/>
        </w:trPr>
        <w:tc>
          <w:tcPr>
            <w:tcW w:w="963" w:type="pct"/>
            <w:shd w:val="clear" w:color="auto" w:fill="auto"/>
          </w:tcPr>
          <w:p w14:paraId="07E7FEF9" w14:textId="4F767B62" w:rsidR="002E7217" w:rsidRPr="003261F1" w:rsidRDefault="002E7217" w:rsidP="002E7217">
            <w:pPr>
              <w:pStyle w:val="Tabletextbold"/>
              <w:rPr>
                <w:rFonts w:cs="Arial"/>
              </w:rPr>
            </w:pPr>
            <w:bookmarkStart w:id="12" w:name="CellulitisErysipelas"/>
            <w:r w:rsidRPr="003261F1">
              <w:rPr>
                <w:rFonts w:cs="Arial"/>
              </w:rPr>
              <w:t>Cellulitis and erysipelas</w:t>
            </w:r>
            <w:bookmarkEnd w:id="12"/>
          </w:p>
          <w:p w14:paraId="03B5B248" w14:textId="491BBF51" w:rsidR="002E7217" w:rsidRDefault="001B0730" w:rsidP="002E7217">
            <w:pPr>
              <w:pStyle w:val="Lastupdated"/>
              <w:rPr>
                <w:rFonts w:cs="Arial"/>
              </w:rPr>
            </w:pPr>
            <w:r>
              <w:rPr>
                <w:rFonts w:cs="Arial"/>
              </w:rPr>
              <w:t>Last updated by NICE/PHE: Sep 2019</w:t>
            </w:r>
          </w:p>
          <w:p w14:paraId="68295418" w14:textId="6C1BE462" w:rsidR="003D6A0D" w:rsidRPr="001B0730" w:rsidRDefault="00D8014F" w:rsidP="001B073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shd w:val="clear" w:color="auto" w:fill="auto"/>
          </w:tcPr>
          <w:p w14:paraId="0EBDE6E3" w14:textId="787EE112" w:rsidR="006A346F" w:rsidRDefault="006A346F" w:rsidP="0062270F">
            <w:pPr>
              <w:pStyle w:val="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Caution when reading </w:t>
            </w:r>
            <w:r w:rsidR="0065348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NICE summary table for this section as </w:t>
            </w:r>
            <w:r w:rsidR="0065348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options for children </w:t>
            </w:r>
            <w:r w:rsidR="0065348B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>embedded in adult guidance.</w:t>
            </w:r>
          </w:p>
          <w:p w14:paraId="148C1821" w14:textId="4DF07F55" w:rsidR="005110AD" w:rsidRPr="003261F1" w:rsidRDefault="006A346F" w:rsidP="001B0730">
            <w:pPr>
              <w:pStyle w:val="Tabletext"/>
              <w:spacing w:after="0"/>
              <w:rPr>
                <w:rFonts w:cs="Arial"/>
              </w:rPr>
            </w:pPr>
            <w:r>
              <w:rPr>
                <w:rFonts w:cs="Arial"/>
              </w:rPr>
              <w:t>KMCCG recommend</w:t>
            </w:r>
            <w:r w:rsidR="00220D56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4C6125">
              <w:rPr>
                <w:rFonts w:cs="Arial"/>
              </w:rPr>
              <w:t xml:space="preserve">using the </w:t>
            </w:r>
            <w:hyperlink r:id="rId38" w:history="1">
              <w:r w:rsidR="004C6125" w:rsidRPr="00BF6BE6">
                <w:rPr>
                  <w:rStyle w:val="Hyperlink"/>
                  <w:rFonts w:cs="Arial"/>
                </w:rPr>
                <w:t>visual summary</w:t>
              </w:r>
            </w:hyperlink>
            <w:r w:rsidR="00AA4003">
              <w:rPr>
                <w:rFonts w:cs="Arial"/>
              </w:rPr>
              <w:t xml:space="preserve"> to mor</w:t>
            </w:r>
            <w:r w:rsidR="004C6125">
              <w:rPr>
                <w:rFonts w:cs="Arial"/>
              </w:rPr>
              <w:t xml:space="preserve">e easily view this guidance </w:t>
            </w:r>
            <w:r>
              <w:rPr>
                <w:rFonts w:cs="Arial"/>
              </w:rPr>
              <w:t xml:space="preserve"> </w:t>
            </w:r>
          </w:p>
        </w:tc>
      </w:tr>
      <w:tr w:rsidR="00F01D4B" w:rsidRPr="003261F1" w14:paraId="3DE5B7E9" w14:textId="77777777" w:rsidTr="001B0730">
        <w:trPr>
          <w:cantSplit/>
          <w:trHeight w:val="1197"/>
        </w:trPr>
        <w:tc>
          <w:tcPr>
            <w:tcW w:w="963" w:type="pct"/>
            <w:tcBorders>
              <w:top w:val="nil"/>
            </w:tcBorders>
            <w:shd w:val="clear" w:color="auto" w:fill="auto"/>
          </w:tcPr>
          <w:p w14:paraId="184DECB8" w14:textId="77777777" w:rsidR="00F01D4B" w:rsidRPr="003261F1" w:rsidRDefault="00F01D4B" w:rsidP="0062270F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Varicella zoster/ chickenpox</w:t>
            </w:r>
          </w:p>
          <w:p w14:paraId="613FA383" w14:textId="6C91F9F2" w:rsidR="00F01D4B" w:rsidRPr="003261F1" w:rsidRDefault="00F01D4B" w:rsidP="005F7151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Herpes zoster/ shingles</w:t>
            </w:r>
          </w:p>
          <w:p w14:paraId="4C4C09B4" w14:textId="3B76FD0F" w:rsidR="00F01D4B" w:rsidRDefault="001B0730" w:rsidP="00F01D4B">
            <w:pPr>
              <w:pStyle w:val="Lastupdated"/>
              <w:rPr>
                <w:rFonts w:cs="Arial"/>
              </w:rPr>
            </w:pPr>
            <w:r>
              <w:rPr>
                <w:rFonts w:cs="Arial"/>
              </w:rPr>
              <w:t>Last updated by NICE/PHE: Oct 2018</w:t>
            </w:r>
          </w:p>
          <w:p w14:paraId="6170CB44" w14:textId="24F9DCDC" w:rsidR="003D6A0D" w:rsidRPr="001B0730" w:rsidRDefault="00D8014F" w:rsidP="001B073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top w:val="nil"/>
            </w:tcBorders>
            <w:shd w:val="clear" w:color="auto" w:fill="auto"/>
          </w:tcPr>
          <w:p w14:paraId="1666EA9E" w14:textId="2A1EE3B5" w:rsidR="005F62E5" w:rsidRDefault="005F7151" w:rsidP="00F01D4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If considering either famciclovir or valaciclovir</w:t>
            </w:r>
            <w:r w:rsidR="0065348B">
              <w:rPr>
                <w:rFonts w:cs="Arial"/>
              </w:rPr>
              <w:t xml:space="preserve"> as second line </w:t>
            </w:r>
            <w:proofErr w:type="gramStart"/>
            <w:r w:rsidR="0065348B">
              <w:rPr>
                <w:rFonts w:cs="Arial"/>
              </w:rPr>
              <w:t>options</w:t>
            </w:r>
            <w:proofErr w:type="gramEnd"/>
            <w:r>
              <w:rPr>
                <w:rFonts w:cs="Arial"/>
              </w:rPr>
              <w:t xml:space="preserve"> please seek </w:t>
            </w:r>
            <w:r w:rsidR="00220D56">
              <w:rPr>
                <w:rFonts w:cs="Arial"/>
              </w:rPr>
              <w:t>advice from microbiologist</w:t>
            </w:r>
            <w:r>
              <w:rPr>
                <w:rFonts w:cs="Arial"/>
              </w:rPr>
              <w:t>.</w:t>
            </w:r>
          </w:p>
          <w:p w14:paraId="1D4D69EF" w14:textId="6BCB1A02" w:rsidR="005F62E5" w:rsidRPr="003261F1" w:rsidRDefault="005F62E5" w:rsidP="0062270F">
            <w:pPr>
              <w:pStyle w:val="Tabletextitalic"/>
              <w:rPr>
                <w:rFonts w:cs="Arial"/>
              </w:rPr>
            </w:pPr>
          </w:p>
        </w:tc>
      </w:tr>
      <w:tr w:rsidR="002C52D1" w:rsidRPr="003261F1" w14:paraId="4E39FC02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30CD476D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t></w:t>
            </w:r>
            <w:r w:rsidRPr="00E63CA7">
              <w:rPr>
                <w:rStyle w:val="Tablesubheadingarrow"/>
              </w:rPr>
              <w:t></w:t>
            </w:r>
            <w:bookmarkStart w:id="13" w:name="Eye"/>
            <w:r w:rsidRPr="003261F1">
              <w:rPr>
                <w:rFonts w:eastAsia="Arial" w:cs="Arial"/>
              </w:rPr>
              <w:t xml:space="preserve">Eye </w:t>
            </w:r>
            <w:bookmarkEnd w:id="13"/>
            <w:r w:rsidRPr="003261F1">
              <w:rPr>
                <w:rFonts w:eastAsia="Arial" w:cs="Arial"/>
              </w:rPr>
              <w:t>infections</w:t>
            </w:r>
          </w:p>
        </w:tc>
      </w:tr>
      <w:tr w:rsidR="002C52D1" w:rsidRPr="003261F1" w14:paraId="29AF5152" w14:textId="77777777" w:rsidTr="001B0730">
        <w:trPr>
          <w:cantSplit/>
        </w:trPr>
        <w:tc>
          <w:tcPr>
            <w:tcW w:w="96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58E84" w14:textId="0A2AA305" w:rsidR="003B7E65" w:rsidRPr="003261F1" w:rsidRDefault="002C52D1" w:rsidP="0062270F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Conjunctivitis</w:t>
            </w:r>
          </w:p>
          <w:p w14:paraId="629E7EE2" w14:textId="0D836F48" w:rsidR="003B7E65" w:rsidRDefault="0065348B" w:rsidP="0062270F">
            <w:pPr>
              <w:pStyle w:val="Tabletex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Last updated by NICE/PHE: July 2019</w:t>
            </w:r>
          </w:p>
          <w:p w14:paraId="5FDB406D" w14:textId="6932AD3F" w:rsidR="002C52D1" w:rsidRPr="003261F1" w:rsidRDefault="00D8014F" w:rsidP="0065348B">
            <w:pPr>
              <w:pStyle w:val="Tabletext"/>
              <w:rPr>
                <w:rFonts w:cs="Arial"/>
              </w:rPr>
            </w:pPr>
            <w:r w:rsidRPr="00D8014F">
              <w:rPr>
                <w:rFonts w:cs="Arial"/>
                <w:sz w:val="16"/>
                <w:szCs w:val="20"/>
              </w:rPr>
              <w:t>Approved by K&amp;M JPC: March 2022</w:t>
            </w:r>
          </w:p>
        </w:tc>
        <w:tc>
          <w:tcPr>
            <w:tcW w:w="403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4B748" w14:textId="7574D5C0" w:rsidR="002C52D1" w:rsidRPr="00242DE4" w:rsidRDefault="002C52D1" w:rsidP="00242DE4">
            <w:pPr>
              <w:pStyle w:val="Tabletext"/>
              <w:rPr>
                <w:rStyle w:val="Characterbold"/>
                <w:rFonts w:cs="Arial"/>
                <w:b w:val="0"/>
              </w:rPr>
            </w:pPr>
            <w:r>
              <w:rPr>
                <w:rFonts w:cs="Arial"/>
              </w:rPr>
              <w:t>C</w:t>
            </w:r>
            <w:r w:rsidRPr="003261F1">
              <w:rPr>
                <w:rFonts w:cs="Arial"/>
              </w:rPr>
              <w:t>hloramphenicol</w:t>
            </w:r>
            <w:r>
              <w:rPr>
                <w:rFonts w:cs="Arial"/>
              </w:rPr>
              <w:t xml:space="preserve"> </w:t>
            </w:r>
            <w:r w:rsidRPr="003261F1">
              <w:rPr>
                <w:rFonts w:cs="Arial"/>
              </w:rPr>
              <w:t>0.5% eye drop</w:t>
            </w:r>
            <w:r w:rsidR="00AA4003">
              <w:rPr>
                <w:rFonts w:cs="Arial"/>
              </w:rPr>
              <w:t xml:space="preserve">s </w:t>
            </w:r>
            <w:r w:rsidR="0065348B" w:rsidRPr="003261F1">
              <w:rPr>
                <w:rStyle w:val="Characterbold"/>
                <w:rFonts w:cs="Arial"/>
              </w:rPr>
              <w:t>OR</w:t>
            </w:r>
            <w:r w:rsidR="0065348B">
              <w:rPr>
                <w:rStyle w:val="Characterbold"/>
                <w:rFonts w:cs="Arial"/>
              </w:rPr>
              <w:t xml:space="preserve"> </w:t>
            </w:r>
            <w:r w:rsidR="0065348B" w:rsidRPr="0065348B">
              <w:rPr>
                <w:rStyle w:val="Characterbold"/>
                <w:rFonts w:cs="Arial"/>
                <w:b w:val="0"/>
              </w:rPr>
              <w:t>1</w:t>
            </w:r>
            <w:r w:rsidRPr="0065348B">
              <w:rPr>
                <w:rFonts w:cs="Arial"/>
                <w:b/>
              </w:rPr>
              <w:t>%</w:t>
            </w:r>
            <w:r w:rsidRPr="003261F1">
              <w:rPr>
                <w:rFonts w:cs="Arial"/>
              </w:rPr>
              <w:t xml:space="preserve"> ointment</w:t>
            </w:r>
            <w:r>
              <w:rPr>
                <w:rFonts w:cs="Arial"/>
              </w:rPr>
              <w:t xml:space="preserve"> are</w:t>
            </w:r>
            <w:r w:rsidR="0065348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available over the</w:t>
            </w:r>
            <w:r w:rsidR="00A07484">
              <w:rPr>
                <w:rFonts w:cs="Arial"/>
              </w:rPr>
              <w:t xml:space="preserve"> counter from Community Pharmacies</w:t>
            </w:r>
            <w:r>
              <w:rPr>
                <w:rFonts w:cs="Arial"/>
              </w:rPr>
              <w:t>.</w:t>
            </w:r>
          </w:p>
          <w:p w14:paraId="45A6C3B8" w14:textId="37018C98" w:rsidR="0052099C" w:rsidRPr="003261F1" w:rsidRDefault="002C52D1" w:rsidP="0065348B">
            <w:pPr>
              <w:pStyle w:val="Tabletext"/>
              <w:rPr>
                <w:rFonts w:cs="Arial"/>
              </w:rPr>
            </w:pPr>
            <w:r>
              <w:rPr>
                <w:rStyle w:val="Characterbold"/>
                <w:rFonts w:cs="Arial"/>
                <w:b w:val="0"/>
              </w:rPr>
              <w:t xml:space="preserve">Conjunctivitis has been identified as a condition for which over the counter (OTC) medicines should not routinely be prescribed in primary care and </w:t>
            </w:r>
            <w:r w:rsidR="00AA4003">
              <w:rPr>
                <w:rStyle w:val="Characterbold"/>
                <w:rFonts w:cs="Arial"/>
                <w:b w:val="0"/>
              </w:rPr>
              <w:t>self-care</w:t>
            </w:r>
            <w:r>
              <w:rPr>
                <w:rStyle w:val="Characterbold"/>
                <w:rFonts w:cs="Arial"/>
                <w:b w:val="0"/>
              </w:rPr>
              <w:t xml:space="preserve"> may be more appropriate</w:t>
            </w:r>
            <w:r w:rsidR="0065348B">
              <w:rPr>
                <w:rStyle w:val="Characterbold"/>
                <w:rFonts w:cs="Arial"/>
                <w:b w:val="0"/>
              </w:rPr>
              <w:t xml:space="preserve"> according to </w:t>
            </w:r>
            <w:hyperlink r:id="rId39" w:history="1">
              <w:r w:rsidR="0065348B" w:rsidRPr="0065348B">
                <w:rPr>
                  <w:rStyle w:val="Hyperlink"/>
                  <w:rFonts w:cs="Arial"/>
                  <w:szCs w:val="20"/>
                </w:rPr>
                <w:t>NHSE Guidance</w:t>
              </w:r>
            </w:hyperlink>
            <w:r w:rsidRPr="0065348B">
              <w:rPr>
                <w:rStyle w:val="Characterbold"/>
                <w:rFonts w:cs="Arial"/>
                <w:b w:val="0"/>
              </w:rPr>
              <w:t>.</w:t>
            </w:r>
            <w:r>
              <w:rPr>
                <w:rStyle w:val="Characterbold"/>
                <w:rFonts w:cs="Arial"/>
                <w:b w:val="0"/>
              </w:rPr>
              <w:t xml:space="preserve"> Due to licensing restrictions on the OTC product, prescriptions may still be required for children under 2 years and in pregnancy and breastfeeding.</w:t>
            </w:r>
          </w:p>
        </w:tc>
      </w:tr>
      <w:tr w:rsidR="002C52D1" w:rsidRPr="003261F1" w14:paraId="7A2E71BA" w14:textId="77777777" w:rsidTr="00BF6BE6">
        <w:trPr>
          <w:cantSplit/>
        </w:trPr>
        <w:tc>
          <w:tcPr>
            <w:tcW w:w="5000" w:type="pct"/>
            <w:gridSpan w:val="3"/>
            <w:shd w:val="clear" w:color="auto" w:fill="517489"/>
          </w:tcPr>
          <w:p w14:paraId="39EAA7A7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63CA7">
              <w:rPr>
                <w:rStyle w:val="Tablesubheadingarrow"/>
              </w:rPr>
              <w:lastRenderedPageBreak/>
              <w:t></w:t>
            </w:r>
            <w:r w:rsidRPr="00E63CA7">
              <w:rPr>
                <w:rStyle w:val="Tablesubheadingarrow"/>
              </w:rPr>
              <w:t></w:t>
            </w:r>
            <w:bookmarkStart w:id="14" w:name="Dental"/>
            <w:r w:rsidRPr="003261F1">
              <w:rPr>
                <w:rFonts w:cs="Arial"/>
              </w:rPr>
              <w:t xml:space="preserve">Suspected </w:t>
            </w:r>
            <w:bookmarkEnd w:id="14"/>
            <w:r w:rsidRPr="003261F1">
              <w:rPr>
                <w:rFonts w:cs="Arial"/>
              </w:rPr>
              <w:t>dental infections in primary care (outside dental settings)</w:t>
            </w:r>
          </w:p>
        </w:tc>
      </w:tr>
      <w:tr w:rsidR="002C52D1" w:rsidRPr="003261F1" w14:paraId="038AE557" w14:textId="77777777" w:rsidTr="00F23449">
        <w:trPr>
          <w:cantSplit/>
          <w:trHeight w:val="141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819013C" w14:textId="77777777" w:rsidR="005F7151" w:rsidRDefault="005F7151" w:rsidP="005F7151">
            <w:r w:rsidRPr="007B7866">
              <w:t>Patients can find details of their local dentists and whether they are accepting new patients via NHS choices: </w:t>
            </w:r>
            <w:hyperlink r:id="rId40" w:tgtFrame="_blank" w:tooltip="http://www.nhs.uk/Service-Search/Dentist/LocationSearch/3" w:history="1">
              <w:r w:rsidRPr="007B7866">
                <w:rPr>
                  <w:rStyle w:val="Hyperlink"/>
                </w:rPr>
                <w:t>http://www.nhs.uk/Service-Search/Dentist/LocationSearch/3</w:t>
              </w:r>
            </w:hyperlink>
          </w:p>
          <w:p w14:paraId="27A1C18C" w14:textId="79522709" w:rsidR="002C52D1" w:rsidRPr="003261F1" w:rsidRDefault="005F7151" w:rsidP="00F23449">
            <w:pPr>
              <w:rPr>
                <w:rFonts w:cs="Arial"/>
              </w:rPr>
            </w:pPr>
            <w:proofErr w:type="spellStart"/>
            <w:r>
              <w:t>Dentaline</w:t>
            </w:r>
            <w:proofErr w:type="spellEnd"/>
            <w:r>
              <w:t xml:space="preserve"> currently provide </w:t>
            </w:r>
            <w:r w:rsidR="0065348B">
              <w:t>an out</w:t>
            </w:r>
            <w:r w:rsidR="00A07484">
              <w:t>-</w:t>
            </w:r>
            <w:r>
              <w:t>of</w:t>
            </w:r>
            <w:r w:rsidR="00A07484">
              <w:t>-</w:t>
            </w:r>
            <w:r>
              <w:t xml:space="preserve">hours dental service across Kent and Medway. For information regarding this service please see the following website: </w:t>
            </w:r>
            <w:hyperlink r:id="rId41" w:history="1">
              <w:r w:rsidRPr="0061680D">
                <w:rPr>
                  <w:rStyle w:val="Hyperlink"/>
                </w:rPr>
                <w:t>https://www.medwaycommunityhealthcare.nhs.uk/our-services/a-z-services/dental-emergency</w:t>
              </w:r>
            </w:hyperlink>
          </w:p>
        </w:tc>
      </w:tr>
      <w:tr w:rsidR="002C52D1" w:rsidRPr="003261F1" w14:paraId="2C4E3A7C" w14:textId="77777777" w:rsidTr="001B0730">
        <w:trPr>
          <w:cantSplit/>
        </w:trPr>
        <w:tc>
          <w:tcPr>
            <w:tcW w:w="1010" w:type="pct"/>
            <w:gridSpan w:val="2"/>
            <w:shd w:val="clear" w:color="auto" w:fill="F4F4F4"/>
          </w:tcPr>
          <w:p w14:paraId="6F111AA4" w14:textId="08658F18" w:rsidR="003B7E65" w:rsidRPr="003261F1" w:rsidRDefault="002C52D1" w:rsidP="003B7E65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Mucosal ulceration and inflammation (simple gingivitis)</w:t>
            </w:r>
          </w:p>
          <w:p w14:paraId="42B08487" w14:textId="13B2FA13" w:rsidR="003B7E65" w:rsidRDefault="00E05E50" w:rsidP="003B7E65">
            <w:pPr>
              <w:pStyle w:val="Tabletex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Last updated by NICE/PHE Nov 2017</w:t>
            </w:r>
          </w:p>
          <w:p w14:paraId="6BAC9B41" w14:textId="58D9F00F" w:rsidR="003D6A0D" w:rsidRPr="00E05E50" w:rsidRDefault="00D8014F" w:rsidP="00E05E50">
            <w:pPr>
              <w:pStyle w:val="Lastupdated"/>
              <w:keepNext/>
              <w:rPr>
                <w:rFonts w:cs="Arial"/>
                <w:szCs w:val="16"/>
                <w:highlight w:val="yellow"/>
              </w:rPr>
            </w:pPr>
            <w:r w:rsidRPr="00D8014F">
              <w:rPr>
                <w:rFonts w:cs="Arial"/>
                <w:szCs w:val="20"/>
              </w:rPr>
              <w:t>Approved by K&amp;M JPC: March 2022</w:t>
            </w:r>
          </w:p>
          <w:p w14:paraId="08D915A0" w14:textId="77777777" w:rsidR="003B7E65" w:rsidRPr="003261F1" w:rsidRDefault="003B7E65" w:rsidP="0062270F">
            <w:pPr>
              <w:pStyle w:val="Lastupdated"/>
              <w:rPr>
                <w:rFonts w:cs="Arial"/>
              </w:rPr>
            </w:pPr>
          </w:p>
        </w:tc>
        <w:tc>
          <w:tcPr>
            <w:tcW w:w="3990" w:type="pct"/>
            <w:shd w:val="clear" w:color="auto" w:fill="F4F4F4"/>
          </w:tcPr>
          <w:p w14:paraId="07340560" w14:textId="4C94F46A" w:rsidR="00E05E50" w:rsidRPr="00E05E50" w:rsidRDefault="00E05E50" w:rsidP="00E05E50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</w:rPr>
              <w:t>P</w:t>
            </w:r>
            <w:r w:rsidRPr="00E05E50">
              <w:rPr>
                <w:rFonts w:cs="Arial"/>
              </w:rPr>
              <w:t>rescription</w:t>
            </w:r>
            <w:r>
              <w:rPr>
                <w:rFonts w:cs="Arial"/>
              </w:rPr>
              <w:t>s</w:t>
            </w:r>
            <w:r w:rsidRPr="00E05E50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treatment of mouth ulcers should </w:t>
            </w:r>
            <w:r w:rsidRPr="00E05E50">
              <w:rPr>
                <w:rFonts w:cs="Arial"/>
              </w:rPr>
              <w:t>not routinely be offered in p</w:t>
            </w:r>
            <w:r>
              <w:rPr>
                <w:rFonts w:cs="Arial"/>
              </w:rPr>
              <w:t xml:space="preserve">rimary care as the condition is </w:t>
            </w:r>
            <w:r w:rsidRPr="00E05E50">
              <w:rPr>
                <w:rFonts w:cs="Arial"/>
              </w:rPr>
              <w:t>appropriate for self-care.</w:t>
            </w:r>
            <w:r>
              <w:rPr>
                <w:rFonts w:cs="Arial"/>
              </w:rPr>
              <w:t xml:space="preserve"> (</w:t>
            </w:r>
            <w:hyperlink r:id="rId42" w:history="1">
              <w:r w:rsidRPr="0065348B">
                <w:rPr>
                  <w:rStyle w:val="Hyperlink"/>
                  <w:rFonts w:cs="Arial"/>
                  <w:szCs w:val="20"/>
                </w:rPr>
                <w:t>NHSE Guidance</w:t>
              </w:r>
            </w:hyperlink>
            <w:r>
              <w:rPr>
                <w:rFonts w:cs="Arial"/>
                <w:szCs w:val="20"/>
              </w:rPr>
              <w:t>)</w:t>
            </w:r>
            <w:r w:rsidRPr="00E05E50">
              <w:rPr>
                <w:rFonts w:cs="Arial"/>
              </w:rPr>
              <w:t xml:space="preserve"> </w:t>
            </w:r>
          </w:p>
          <w:p w14:paraId="1FF9F0C8" w14:textId="77777777" w:rsidR="002C52D1" w:rsidRDefault="005F7151" w:rsidP="005F7151">
            <w:pPr>
              <w:pStyle w:val="Tabletext"/>
            </w:pPr>
            <w:r w:rsidRPr="003261F1">
              <w:rPr>
                <w:rFonts w:cs="Arial"/>
              </w:rPr>
              <w:t>Chlorhexidine 0.12 to 0.2%</w:t>
            </w:r>
            <w:r w:rsidRPr="003261F1">
              <w:rPr>
                <w:rStyle w:val="Charactersuperscript"/>
                <w:rFonts w:cs="Arial"/>
              </w:rPr>
              <w:t xml:space="preserve"> </w:t>
            </w:r>
            <w:r w:rsidRPr="003261F1">
              <w:rPr>
                <w:rFonts w:cs="Arial"/>
              </w:rPr>
              <w:t>(do not use within 30 minutes of toothpaste)</w:t>
            </w:r>
            <w:r>
              <w:t xml:space="preserve"> This is available to purchase </w:t>
            </w:r>
            <w:r w:rsidRPr="00C13CC0">
              <w:t>OTC</w:t>
            </w:r>
            <w:r>
              <w:t xml:space="preserve"> however please note there appears to be an increasing level of sensitivity to chlorhexidine and if used for prolonged periods may stain teeth. </w:t>
            </w:r>
          </w:p>
          <w:p w14:paraId="492BB1BB" w14:textId="7C7ED1C2" w:rsidR="005F7151" w:rsidRPr="003261F1" w:rsidRDefault="005F7151" w:rsidP="005F715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3261F1">
              <w:rPr>
                <w:rFonts w:cs="Arial"/>
              </w:rPr>
              <w:t>ydrogen peroxide 6%</w:t>
            </w:r>
            <w:r>
              <w:rPr>
                <w:rFonts w:cs="Arial"/>
              </w:rPr>
              <w:t>-</w:t>
            </w:r>
            <w:r>
              <w:t xml:space="preserve"> Please note that this is available to purchase OTC</w:t>
            </w:r>
            <w:r w:rsidR="00E05E50">
              <w:t>.</w:t>
            </w:r>
          </w:p>
        </w:tc>
      </w:tr>
      <w:tr w:rsidR="002C52D1" w:rsidRPr="003261F1" w14:paraId="349593D8" w14:textId="77777777" w:rsidTr="001B0730">
        <w:trPr>
          <w:cantSplit/>
        </w:trPr>
        <w:tc>
          <w:tcPr>
            <w:tcW w:w="1010" w:type="pct"/>
            <w:gridSpan w:val="2"/>
            <w:shd w:val="clear" w:color="auto" w:fill="auto"/>
          </w:tcPr>
          <w:p w14:paraId="1DD1F0F7" w14:textId="3B2F3501" w:rsidR="003B7E65" w:rsidRPr="005F7151" w:rsidRDefault="002C52D1" w:rsidP="003B7E65">
            <w:pPr>
              <w:pStyle w:val="Tabletextbold"/>
              <w:rPr>
                <w:rFonts w:cs="Arial"/>
              </w:rPr>
            </w:pPr>
            <w:r w:rsidRPr="003261F1">
              <w:rPr>
                <w:rFonts w:cs="Arial"/>
              </w:rPr>
              <w:t>Dental abscess</w:t>
            </w:r>
          </w:p>
          <w:p w14:paraId="5664C1A4" w14:textId="3EE0BD15" w:rsidR="003B7E65" w:rsidRDefault="00E05E50" w:rsidP="003B7E65">
            <w:pPr>
              <w:pStyle w:val="Tabletex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Last updated by NICE/PHE: Oct 2018</w:t>
            </w:r>
          </w:p>
          <w:p w14:paraId="72658219" w14:textId="3BDB4578" w:rsidR="003B7E65" w:rsidRPr="003261F1" w:rsidRDefault="00D8014F" w:rsidP="0062270F">
            <w:pPr>
              <w:pStyle w:val="Tabletext"/>
              <w:rPr>
                <w:rFonts w:cs="Arial"/>
              </w:rPr>
            </w:pPr>
            <w:r w:rsidRPr="00D8014F">
              <w:rPr>
                <w:rFonts w:cs="Arial"/>
                <w:sz w:val="16"/>
                <w:szCs w:val="20"/>
              </w:rPr>
              <w:t>Approved by K&amp;M JPC: March 2022</w:t>
            </w:r>
          </w:p>
          <w:p w14:paraId="3B3CEAE6" w14:textId="77777777" w:rsidR="002C52D1" w:rsidRPr="003261F1" w:rsidRDefault="002C52D1" w:rsidP="0062270F">
            <w:pPr>
              <w:pStyle w:val="Lastupdated"/>
              <w:rPr>
                <w:rFonts w:cs="Arial"/>
              </w:rPr>
            </w:pPr>
          </w:p>
        </w:tc>
        <w:tc>
          <w:tcPr>
            <w:tcW w:w="3990" w:type="pct"/>
            <w:shd w:val="clear" w:color="auto" w:fill="auto"/>
          </w:tcPr>
          <w:p w14:paraId="1E8C00D6" w14:textId="614D0D1E" w:rsidR="00E05E50" w:rsidRDefault="00E05E50" w:rsidP="005F7151">
            <w:pPr>
              <w:pStyle w:val="Tabletext"/>
              <w:rPr>
                <w:b/>
              </w:rPr>
            </w:pPr>
            <w:r>
              <w:rPr>
                <w:b/>
              </w:rPr>
              <w:t>Local adaptations are in bold text:</w:t>
            </w:r>
          </w:p>
          <w:p w14:paraId="292AFB45" w14:textId="77777777" w:rsidR="005F7151" w:rsidRPr="00E05E50" w:rsidRDefault="005F7151" w:rsidP="005F7151">
            <w:pPr>
              <w:pStyle w:val="Tabletext"/>
              <w:rPr>
                <w:b/>
              </w:rPr>
            </w:pPr>
            <w:r w:rsidRPr="00E05E50">
              <w:rPr>
                <w:b/>
              </w:rPr>
              <w:t>Please note it should not be routine practice for primary care to prescribe antibiotics for dental abscess and patients should seek urgent review with a dentist to receive appropriate assessment. However acute sepsis is an exception to this.</w:t>
            </w:r>
          </w:p>
          <w:p w14:paraId="6E24A526" w14:textId="2C67F721" w:rsidR="005F7151" w:rsidRDefault="005F7151" w:rsidP="005F7151">
            <w:pPr>
              <w:pStyle w:val="Tabletext"/>
              <w:rPr>
                <w:rFonts w:cs="Arial"/>
                <w:bCs/>
              </w:rPr>
            </w:pPr>
            <w:r w:rsidRPr="003261F1">
              <w:rPr>
                <w:rFonts w:cs="Arial"/>
              </w:rPr>
              <w:t>Regular analgesia should be the first option</w:t>
            </w:r>
            <w:r w:rsidRPr="003261F1">
              <w:rPr>
                <w:rStyle w:val="Charactersuperscript"/>
                <w:rFonts w:cs="Arial"/>
              </w:rPr>
              <w:t xml:space="preserve">1A+ </w:t>
            </w:r>
            <w:r w:rsidRPr="003261F1">
              <w:rPr>
                <w:rFonts w:cs="Arial"/>
              </w:rPr>
              <w:t>until a dentist can be seen for urgent drainage,</w:t>
            </w:r>
            <w:r w:rsidRPr="003261F1">
              <w:rPr>
                <w:rStyle w:val="Charactersuperscript"/>
                <w:rFonts w:cs="Arial"/>
              </w:rPr>
              <w:t>1A+,2B-,3A+</w:t>
            </w:r>
            <w:r w:rsidRPr="003261F1">
              <w:rPr>
                <w:rFonts w:cs="Arial"/>
              </w:rPr>
              <w:t xml:space="preserve"> as repeated courses of antibiotics for abscesses are not appropriate.</w:t>
            </w:r>
            <w:r w:rsidRPr="003261F1">
              <w:rPr>
                <w:rStyle w:val="Charactersuperscript"/>
                <w:rFonts w:cs="Arial"/>
              </w:rPr>
              <w:t>1A+,4A+</w:t>
            </w:r>
            <w:r w:rsidRPr="003261F1">
              <w:rPr>
                <w:rFonts w:cs="Arial"/>
              </w:rPr>
              <w:t xml:space="preserve"> Repeated antibiotics alone, without drainage, are ineffective in preventing the spread of infection.</w:t>
            </w:r>
            <w:r w:rsidRPr="003261F1">
              <w:rPr>
                <w:rStyle w:val="Charactersuperscript"/>
                <w:rFonts w:cs="Arial"/>
              </w:rPr>
              <w:t>1A+,5C</w:t>
            </w:r>
            <w:r w:rsidRPr="003261F1">
              <w:rPr>
                <w:rFonts w:cs="Arial"/>
              </w:rPr>
              <w:t xml:space="preserve"> Antibiotics are only recommended if there are signs of severe infection,</w:t>
            </w:r>
            <w:r w:rsidRPr="003261F1">
              <w:rPr>
                <w:rStyle w:val="Charactersuperscript"/>
                <w:rFonts w:cs="Arial"/>
              </w:rPr>
              <w:t>3A+</w:t>
            </w:r>
            <w:r w:rsidRPr="003261F1">
              <w:rPr>
                <w:rFonts w:cs="Arial"/>
              </w:rPr>
              <w:t xml:space="preserve"> systemic symptoms,</w:t>
            </w:r>
            <w:r w:rsidRPr="003261F1">
              <w:rPr>
                <w:rStyle w:val="Charactersuperscript"/>
                <w:rFonts w:cs="Arial"/>
              </w:rPr>
              <w:t>1A+,2B-,4A+</w:t>
            </w:r>
            <w:r w:rsidRPr="003261F1">
              <w:rPr>
                <w:rFonts w:cs="Arial"/>
              </w:rPr>
              <w:t xml:space="preserve"> or a high risk of complications.</w:t>
            </w:r>
            <w:r w:rsidRPr="003261F1">
              <w:rPr>
                <w:rStyle w:val="Charactersuperscript"/>
                <w:rFonts w:cs="Arial"/>
              </w:rPr>
              <w:t>1A+</w:t>
            </w:r>
            <w:r w:rsidRPr="003261F1">
              <w:rPr>
                <w:rFonts w:cs="Arial"/>
              </w:rPr>
              <w:t xml:space="preserve"> Patients with severe odontogenic infections (cellulitis,</w:t>
            </w:r>
            <w:r w:rsidRPr="003261F1">
              <w:rPr>
                <w:rStyle w:val="Charactersuperscript"/>
                <w:rFonts w:cs="Arial"/>
              </w:rPr>
              <w:t>1A+,3A+</w:t>
            </w:r>
            <w:r w:rsidRPr="003261F1">
              <w:rPr>
                <w:rFonts w:cs="Arial"/>
              </w:rPr>
              <w:t xml:space="preserve"> plus signs of sepsis;</w:t>
            </w:r>
            <w:r w:rsidRPr="003261F1">
              <w:rPr>
                <w:rStyle w:val="Charactersuperscript"/>
                <w:rFonts w:cs="Arial"/>
              </w:rPr>
              <w:t>3A+,4A+</w:t>
            </w:r>
            <w:r w:rsidRPr="003261F1">
              <w:rPr>
                <w:rFonts w:cs="Arial"/>
              </w:rPr>
              <w:t xml:space="preserve"> difficulty in swallowing;</w:t>
            </w:r>
            <w:r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impending airway obstruction)</w:t>
            </w:r>
            <w:r w:rsidR="00F92045">
              <w:rPr>
                <w:rFonts w:cs="Arial"/>
              </w:rPr>
              <w:t xml:space="preserve"> </w:t>
            </w:r>
            <w:r w:rsidR="00F92045"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should be referred urgently for hospital admission to protect airway,</w:t>
            </w:r>
            <w:r w:rsidR="00F92045" w:rsidRPr="003261F1">
              <w:rPr>
                <w:rFonts w:cs="Arial"/>
              </w:rPr>
              <w:t xml:space="preserve"> </w:t>
            </w:r>
            <w:r w:rsidR="00F92045" w:rsidRPr="003261F1">
              <w:rPr>
                <w:rStyle w:val="Charactersuperscript"/>
                <w:rFonts w:cs="Arial"/>
              </w:rPr>
              <w:t>6D</w:t>
            </w:r>
            <w:r w:rsidR="00F92045" w:rsidRPr="003261F1">
              <w:rPr>
                <w:rFonts w:cs="Arial"/>
              </w:rPr>
              <w:t xml:space="preserve"> for surgical drainage</w:t>
            </w:r>
            <w:r w:rsidR="00F92045" w:rsidRPr="003261F1">
              <w:rPr>
                <w:rStyle w:val="Charactersuperscript"/>
                <w:rFonts w:cs="Arial"/>
              </w:rPr>
              <w:t>3A</w:t>
            </w:r>
            <w:r w:rsidR="00F92045">
              <w:rPr>
                <w:rStyle w:val="Charactersuperscript"/>
                <w:rFonts w:cs="Arial"/>
              </w:rPr>
              <w:t>+</w:t>
            </w:r>
            <w:r w:rsidR="00F92045">
              <w:t xml:space="preserve"> </w:t>
            </w:r>
            <w:r w:rsidR="00F92045" w:rsidRPr="003261F1">
              <w:rPr>
                <w:rFonts w:cs="Arial"/>
              </w:rPr>
              <w:t>and for IV antibiotics.</w:t>
            </w:r>
            <w:r w:rsidR="00F92045" w:rsidRPr="003261F1">
              <w:rPr>
                <w:rStyle w:val="Charactersuperscript"/>
                <w:rFonts w:cs="Arial"/>
              </w:rPr>
              <w:t>3A</w:t>
            </w:r>
            <w:r w:rsidR="00F92045">
              <w:rPr>
                <w:rStyle w:val="Charactersuperscript"/>
                <w:rFonts w:cs="Arial"/>
              </w:rPr>
              <w:t>+</w:t>
            </w:r>
            <w:r>
              <w:t xml:space="preserve"> </w:t>
            </w:r>
            <w:r w:rsidRPr="00E05E50">
              <w:rPr>
                <w:b/>
              </w:rPr>
              <w:t>Likewise any patient with severe trismus should be referred immediately to hospital.</w:t>
            </w:r>
            <w:r w:rsidRPr="003261F1">
              <w:rPr>
                <w:rFonts w:cs="Arial"/>
              </w:rPr>
              <w:t xml:space="preserve"> The empirical use of cephalosporins,</w:t>
            </w:r>
            <w:r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co-amoxiclav,</w:t>
            </w:r>
            <w:r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clarithromycin,</w:t>
            </w:r>
            <w:r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and clindamycin</w:t>
            </w:r>
            <w:r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do not offer any advantage for most dental patients,</w:t>
            </w:r>
            <w:r w:rsidRPr="003261F1">
              <w:rPr>
                <w:rStyle w:val="Charactersuperscript"/>
                <w:rFonts w:cs="Arial"/>
              </w:rPr>
              <w:t>6D</w:t>
            </w:r>
            <w:r w:rsidRPr="003261F1">
              <w:rPr>
                <w:rFonts w:cs="Arial"/>
              </w:rPr>
              <w:t xml:space="preserve"> and should only be used if there is no response to first</w:t>
            </w:r>
            <w:r w:rsidRPr="003261F1">
              <w:rPr>
                <w:rFonts w:cs="Arial"/>
              </w:rPr>
              <w:noBreakHyphen/>
              <w:t>line drugs.</w:t>
            </w:r>
            <w:r w:rsidRPr="003261F1">
              <w:rPr>
                <w:rStyle w:val="Charactersuperscript"/>
                <w:rFonts w:cs="Arial"/>
              </w:rPr>
              <w:t>6D</w:t>
            </w:r>
          </w:p>
          <w:p w14:paraId="574DFE57" w14:textId="77777777" w:rsidR="005F7151" w:rsidRDefault="005F7151" w:rsidP="0062270F">
            <w:pPr>
              <w:pStyle w:val="Tabletext"/>
            </w:pPr>
          </w:p>
          <w:p w14:paraId="618BFD19" w14:textId="6EE09C01" w:rsidR="00674C9A" w:rsidRPr="00674C9A" w:rsidRDefault="005F7151" w:rsidP="0062270F">
            <w:pPr>
              <w:pStyle w:val="Tabletext"/>
              <w:rPr>
                <w:rFonts w:cs="Arial"/>
                <w:b/>
              </w:rPr>
            </w:pPr>
            <w:r w:rsidRPr="005F7151">
              <w:rPr>
                <w:b/>
                <w:bCs/>
              </w:rPr>
              <w:t>Adaptations:</w:t>
            </w:r>
            <w:r w:rsidR="00E05E50">
              <w:rPr>
                <w:b/>
                <w:bCs/>
              </w:rPr>
              <w:t xml:space="preserve"> </w:t>
            </w:r>
            <w:r w:rsidR="00E05E50" w:rsidRPr="00E05E50">
              <w:rPr>
                <w:bCs/>
              </w:rPr>
              <w:t>A</w:t>
            </w:r>
            <w:r w:rsidR="00E05E50">
              <w:rPr>
                <w:bCs/>
              </w:rPr>
              <w:t xml:space="preserve">moxicillin </w:t>
            </w:r>
            <w:r w:rsidR="00F23449">
              <w:rPr>
                <w:bCs/>
              </w:rPr>
              <w:t xml:space="preserve">is </w:t>
            </w:r>
            <w:r w:rsidR="00E05E50">
              <w:rPr>
                <w:bCs/>
              </w:rPr>
              <w:t>recommended in preference to</w:t>
            </w:r>
            <w:r w:rsidR="00E05E50" w:rsidRPr="00E05E50">
              <w:rPr>
                <w:bCs/>
              </w:rPr>
              <w:t xml:space="preserve"> </w:t>
            </w:r>
            <w:proofErr w:type="spellStart"/>
            <w:r w:rsidR="00E05E50" w:rsidRPr="00E05E50">
              <w:rPr>
                <w:bCs/>
              </w:rPr>
              <w:t>p</w:t>
            </w:r>
            <w:r w:rsidR="00674C9A" w:rsidRPr="00E05E50">
              <w:rPr>
                <w:rFonts w:cs="Arial"/>
                <w:bCs/>
              </w:rPr>
              <w:t>henoxmethylpenicillin</w:t>
            </w:r>
            <w:proofErr w:type="spellEnd"/>
            <w:r w:rsidR="00E05E50">
              <w:rPr>
                <w:rFonts w:cs="Arial"/>
                <w:bCs/>
              </w:rPr>
              <w:t xml:space="preserve"> (which requires QDS dosing and has a narrower spectrum of action than amoxicillin)</w:t>
            </w:r>
            <w:r w:rsidR="00547759">
              <w:rPr>
                <w:rFonts w:cs="Arial"/>
                <w:bCs/>
              </w:rPr>
              <w:t xml:space="preserve"> with clarithromycin as an alternative in penicillin allergy</w:t>
            </w:r>
            <w:r w:rsidR="00E05E50">
              <w:rPr>
                <w:rFonts w:cs="Arial"/>
                <w:bCs/>
              </w:rPr>
              <w:t>.</w:t>
            </w:r>
            <w:r w:rsidR="00674C9A" w:rsidRPr="00674C9A">
              <w:rPr>
                <w:rFonts w:cs="Arial"/>
                <w:b/>
              </w:rPr>
              <w:t xml:space="preserve"> </w:t>
            </w:r>
            <w:r w:rsidR="00547759">
              <w:rPr>
                <w:rFonts w:cs="Arial"/>
                <w:b/>
              </w:rPr>
              <w:t>Ensure metronidazole is prescribed in addition if there are systemic signs or spreading infection.</w:t>
            </w:r>
          </w:p>
          <w:p w14:paraId="4D5AEF27" w14:textId="4EC2B44E" w:rsidR="002C52D1" w:rsidRPr="00674C9A" w:rsidRDefault="002C52D1" w:rsidP="0062270F">
            <w:pPr>
              <w:pStyle w:val="Tabletext"/>
              <w:rPr>
                <w:rFonts w:cs="Arial"/>
                <w:b/>
              </w:rPr>
            </w:pPr>
          </w:p>
        </w:tc>
      </w:tr>
      <w:tr w:rsidR="002C52D1" w:rsidRPr="003261F1" w14:paraId="13605BCC" w14:textId="77777777" w:rsidTr="00BF6BE6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17489"/>
            <w:vAlign w:val="center"/>
          </w:tcPr>
          <w:p w14:paraId="695595CA" w14:textId="77777777" w:rsidR="002C52D1" w:rsidRPr="003261F1" w:rsidRDefault="002C52D1" w:rsidP="0062270F">
            <w:pPr>
              <w:pStyle w:val="Tablesubheading"/>
              <w:rPr>
                <w:rFonts w:cs="Arial"/>
              </w:rPr>
            </w:pPr>
            <w:r w:rsidRPr="00E145DD">
              <w:rPr>
                <w:rStyle w:val="Tablesubheadingarrow"/>
              </w:rPr>
              <w:t></w:t>
            </w:r>
            <w:r w:rsidRPr="00E145DD">
              <w:rPr>
                <w:rStyle w:val="Tablesubheadingarrow"/>
              </w:rPr>
              <w:t></w:t>
            </w:r>
            <w:r w:rsidRPr="003261F1">
              <w:rPr>
                <w:rFonts w:eastAsia="Arial" w:cs="Arial"/>
              </w:rPr>
              <w:t>Abbreviations</w:t>
            </w:r>
          </w:p>
        </w:tc>
      </w:tr>
      <w:tr w:rsidR="002C52D1" w:rsidRPr="003261F1" w14:paraId="28904665" w14:textId="77777777" w:rsidTr="00BF6BE6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E6CC9" w14:textId="77777777" w:rsidR="002C52D1" w:rsidRPr="003261F1" w:rsidRDefault="002C52D1" w:rsidP="0062270F">
            <w:pPr>
              <w:pStyle w:val="Tabletext"/>
              <w:rPr>
                <w:rFonts w:cs="Arial"/>
              </w:rPr>
            </w:pPr>
            <w:r w:rsidRPr="003261F1">
              <w:rPr>
                <w:rFonts w:cs="Arial"/>
              </w:rPr>
              <w:t xml:space="preserve">BD, twice a day; eGFR, estimated glomerular filtration rate; IM, intramuscular; IV, intravenous; MALToma, mucosa-associated lymphoid tissue lymphoma; m/r, modified release; MRSA, methicillin-resistant </w:t>
            </w:r>
            <w:r w:rsidRPr="003261F1">
              <w:rPr>
                <w:rStyle w:val="Characteritalic"/>
                <w:rFonts w:eastAsiaTheme="minorEastAsia"/>
              </w:rPr>
              <w:t>Staphylococcus aureus</w:t>
            </w:r>
            <w:r w:rsidRPr="003261F1">
              <w:rPr>
                <w:rFonts w:cs="Arial"/>
              </w:rPr>
              <w:t>; MSM, men who have sex with men; stat, given immediately; OD, once daily; TDS, 3 times a day; QDS, 4 times a day.</w:t>
            </w:r>
          </w:p>
        </w:tc>
      </w:tr>
    </w:tbl>
    <w:p w14:paraId="41E94F68" w14:textId="77777777" w:rsidR="0062270F" w:rsidRPr="003261F1" w:rsidRDefault="0062270F" w:rsidP="0062270F">
      <w:pPr>
        <w:pStyle w:val="NICEnormal"/>
        <w:rPr>
          <w:rFonts w:cs="Arial"/>
        </w:rPr>
      </w:pPr>
    </w:p>
    <w:p w14:paraId="357B1D55" w14:textId="41307115" w:rsidR="00390EDE" w:rsidRPr="00547759" w:rsidRDefault="00A2605C" w:rsidP="00547759">
      <w:pPr>
        <w:spacing w:after="200" w:line="276" w:lineRule="auto"/>
      </w:pPr>
      <w:r>
        <w:br w:type="page"/>
      </w:r>
      <w:r w:rsidRPr="00A2605C">
        <w:rPr>
          <w:rFonts w:cstheme="minorHAnsi"/>
          <w:b/>
        </w:rPr>
        <w:lastRenderedPageBreak/>
        <w:t>Document history for Supplementary Kent and Medway Information for antimicrobial prescribing guidance– managing common infections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546"/>
        <w:gridCol w:w="1689"/>
        <w:gridCol w:w="11198"/>
      </w:tblGrid>
      <w:tr w:rsidR="00A2605C" w:rsidRPr="00A2605C" w14:paraId="2E3349B1" w14:textId="77777777" w:rsidTr="00D16B5B">
        <w:tc>
          <w:tcPr>
            <w:tcW w:w="959" w:type="dxa"/>
            <w:shd w:val="clear" w:color="auto" w:fill="B8CCE4" w:themeFill="accent1" w:themeFillTint="66"/>
          </w:tcPr>
          <w:p w14:paraId="3A4C0213" w14:textId="4B470A37" w:rsidR="00A2605C" w:rsidRPr="00A2605C" w:rsidRDefault="00A2605C" w:rsidP="00A2605C">
            <w:pPr>
              <w:rPr>
                <w:rFonts w:cstheme="minorHAnsi"/>
              </w:rPr>
            </w:pPr>
            <w:r w:rsidRPr="00A2605C">
              <w:rPr>
                <w:rFonts w:cstheme="minorHAnsi"/>
              </w:rPr>
              <w:t xml:space="preserve">Version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0F86C25" w14:textId="0C9A3B05" w:rsidR="00A2605C" w:rsidRPr="00A2605C" w:rsidRDefault="00A2605C">
            <w:pPr>
              <w:rPr>
                <w:rFonts w:cstheme="minorHAnsi"/>
              </w:rPr>
            </w:pPr>
            <w:r w:rsidRPr="00A2605C">
              <w:rPr>
                <w:rFonts w:cstheme="minorHAnsi"/>
              </w:rPr>
              <w:t>Created by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255987BB" w14:textId="563992EE" w:rsidR="00A2605C" w:rsidRPr="00A2605C" w:rsidRDefault="00A2605C">
            <w:pPr>
              <w:rPr>
                <w:rFonts w:cstheme="minorHAnsi"/>
              </w:rPr>
            </w:pPr>
            <w:r w:rsidRPr="00A2605C">
              <w:rPr>
                <w:rFonts w:cstheme="minorHAnsi"/>
              </w:rPr>
              <w:t>Date</w:t>
            </w:r>
          </w:p>
        </w:tc>
        <w:tc>
          <w:tcPr>
            <w:tcW w:w="11397" w:type="dxa"/>
            <w:shd w:val="clear" w:color="auto" w:fill="B8CCE4" w:themeFill="accent1" w:themeFillTint="66"/>
          </w:tcPr>
          <w:p w14:paraId="76B8E4ED" w14:textId="6105FD27" w:rsidR="00A2605C" w:rsidRPr="00A2605C" w:rsidRDefault="00A2605C">
            <w:pPr>
              <w:rPr>
                <w:rFonts w:cstheme="minorHAnsi"/>
              </w:rPr>
            </w:pPr>
            <w:r w:rsidRPr="00A2605C">
              <w:rPr>
                <w:rFonts w:cstheme="minorHAnsi"/>
              </w:rPr>
              <w:t>Main Changes/Comments</w:t>
            </w:r>
          </w:p>
        </w:tc>
      </w:tr>
      <w:tr w:rsidR="00A2605C" w:rsidRPr="00A2605C" w14:paraId="44E615BF" w14:textId="77777777" w:rsidTr="00D16B5B">
        <w:tc>
          <w:tcPr>
            <w:tcW w:w="959" w:type="dxa"/>
            <w:shd w:val="clear" w:color="auto" w:fill="DBE5F1" w:themeFill="accent1" w:themeFillTint="33"/>
          </w:tcPr>
          <w:p w14:paraId="009ECCDE" w14:textId="7117F35E" w:rsidR="00A2605C" w:rsidRPr="00A2605C" w:rsidRDefault="00A2605C">
            <w:pPr>
              <w:rPr>
                <w:rFonts w:cstheme="minorHAnsi"/>
              </w:rPr>
            </w:pPr>
            <w:r w:rsidRPr="00A2605C">
              <w:rPr>
                <w:rFonts w:cstheme="minorHAnsi"/>
              </w:rPr>
              <w:t>1</w:t>
            </w:r>
            <w:r w:rsidR="00DB2BDD">
              <w:rPr>
                <w:rFonts w:cstheme="minorHAnsi"/>
              </w:rPr>
              <w:t>.1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72611A6" w14:textId="378BC9A4" w:rsidR="00A2605C" w:rsidRPr="00A2605C" w:rsidRDefault="00A2605C" w:rsidP="00A2605C">
            <w:pPr>
              <w:rPr>
                <w:rFonts w:cstheme="minorHAnsi"/>
              </w:rPr>
            </w:pPr>
            <w:r>
              <w:rPr>
                <w:rFonts w:cstheme="minorHAnsi"/>
              </w:rPr>
              <w:t>CM, OO &amp; MG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A800591" w14:textId="2BDCEC24" w:rsidR="00A2605C" w:rsidRPr="00A2605C" w:rsidRDefault="00A2605C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2021</w:t>
            </w:r>
          </w:p>
        </w:tc>
        <w:tc>
          <w:tcPr>
            <w:tcW w:w="11397" w:type="dxa"/>
            <w:shd w:val="clear" w:color="auto" w:fill="DBE5F1" w:themeFill="accent1" w:themeFillTint="33"/>
          </w:tcPr>
          <w:p w14:paraId="5C625F12" w14:textId="15F3E6BD" w:rsidR="00A2605C" w:rsidRPr="00A2605C" w:rsidRDefault="00D16B5B" w:rsidP="00D16B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New document. </w:t>
            </w:r>
            <w:hyperlink r:id="rId43" w:history="1">
              <w:r w:rsidRPr="00A2605C">
                <w:rPr>
                  <w:rStyle w:val="Hyperlink"/>
                  <w:rFonts w:cstheme="minorHAnsi"/>
                </w:rPr>
                <w:t>NICE/PHE guidance August 2021</w:t>
              </w:r>
            </w:hyperlink>
            <w:r>
              <w:rPr>
                <w:rFonts w:cstheme="minorHAnsi"/>
              </w:rPr>
              <w:t xml:space="preserve"> reviewed locally to align the antecedent CCG’s antimicrobial prescribing guidance at Kent and Medway level.</w:t>
            </w:r>
          </w:p>
        </w:tc>
      </w:tr>
      <w:tr w:rsidR="00A2605C" w:rsidRPr="00A2605C" w14:paraId="3885A4DB" w14:textId="77777777" w:rsidTr="00D16B5B">
        <w:tc>
          <w:tcPr>
            <w:tcW w:w="959" w:type="dxa"/>
            <w:shd w:val="clear" w:color="auto" w:fill="DBE5F1" w:themeFill="accent1" w:themeFillTint="33"/>
          </w:tcPr>
          <w:p w14:paraId="49DD22EB" w14:textId="2053E031" w:rsidR="00A2605C" w:rsidRPr="00A2605C" w:rsidRDefault="00AF4CD5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9165BE" w14:textId="13486C25" w:rsidR="00A2605C" w:rsidRPr="00A2605C" w:rsidRDefault="00D16B5B">
            <w:pPr>
              <w:rPr>
                <w:rFonts w:cstheme="minorHAnsi"/>
              </w:rPr>
            </w:pPr>
            <w:r>
              <w:rPr>
                <w:rFonts w:cstheme="minorHAnsi"/>
              </w:rPr>
              <w:t>CM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BF8F1BB" w14:textId="003E6BF7" w:rsidR="00A2605C" w:rsidRPr="00A2605C" w:rsidRDefault="00D16B5B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2022</w:t>
            </w:r>
          </w:p>
        </w:tc>
        <w:tc>
          <w:tcPr>
            <w:tcW w:w="11397" w:type="dxa"/>
            <w:shd w:val="clear" w:color="auto" w:fill="DBE5F1" w:themeFill="accent1" w:themeFillTint="33"/>
          </w:tcPr>
          <w:p w14:paraId="0C541394" w14:textId="6A8F7EF1" w:rsidR="00D16B5B" w:rsidRDefault="00D16B5B" w:rsidP="00D16B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Version 1.1 updated post January JFG meeting to ensure comments re sore throat reflect dosing in children.</w:t>
            </w:r>
          </w:p>
          <w:p w14:paraId="585E6641" w14:textId="1D928CD3" w:rsidR="00A2605C" w:rsidRPr="00A2605C" w:rsidRDefault="00AF4CD5" w:rsidP="00D16B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NICE/PHE guidance update </w:t>
            </w:r>
            <w:hyperlink r:id="rId44" w:history="1">
              <w:r w:rsidRPr="00D16B5B">
                <w:rPr>
                  <w:rStyle w:val="Hyperlink"/>
                  <w:rFonts w:cstheme="minorHAnsi"/>
                </w:rPr>
                <w:t>January 2022</w:t>
              </w:r>
            </w:hyperlink>
            <w:r>
              <w:rPr>
                <w:rFonts w:cstheme="minorHAnsi"/>
              </w:rPr>
              <w:t xml:space="preserve"> reviewed </w:t>
            </w:r>
            <w:r w:rsidR="00D16B5B">
              <w:rPr>
                <w:rFonts w:cstheme="minorHAnsi"/>
              </w:rPr>
              <w:t>locally,</w:t>
            </w:r>
            <w:r>
              <w:rPr>
                <w:rFonts w:cstheme="minorHAnsi"/>
              </w:rPr>
              <w:t xml:space="preserve"> and links updated – no additions to this document following review.</w:t>
            </w:r>
          </w:p>
        </w:tc>
      </w:tr>
    </w:tbl>
    <w:p w14:paraId="1F993B6E" w14:textId="77777777" w:rsidR="00A2605C" w:rsidRDefault="00A2605C"/>
    <w:sectPr w:rsidR="00A2605C" w:rsidSect="00547759">
      <w:footerReference w:type="default" r:id="rId45"/>
      <w:pgSz w:w="16840" w:h="11907" w:orient="landscape" w:code="9"/>
      <w:pgMar w:top="720" w:right="720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796C" w14:textId="77777777" w:rsidR="006453E9" w:rsidRDefault="006453E9">
      <w:pPr>
        <w:spacing w:after="0" w:line="240" w:lineRule="auto"/>
      </w:pPr>
      <w:r>
        <w:separator/>
      </w:r>
    </w:p>
  </w:endnote>
  <w:endnote w:type="continuationSeparator" w:id="0">
    <w:p w14:paraId="5223EB66" w14:textId="77777777" w:rsidR="006453E9" w:rsidRDefault="0064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9214" w14:textId="24FE37B2" w:rsidR="006453E9" w:rsidRDefault="006453E9" w:rsidP="0062270F">
    <w:pPr>
      <w:pStyle w:val="Footer"/>
    </w:pPr>
    <w:r>
      <w:tab/>
    </w:r>
    <w:r w:rsidRPr="00962A8D">
      <w:tab/>
    </w:r>
    <w:r>
      <w:tab/>
    </w:r>
    <w:r>
      <w:tab/>
    </w:r>
    <w:r>
      <w:tab/>
    </w:r>
    <w:r>
      <w:tab/>
    </w:r>
    <w:r>
      <w:tab/>
    </w:r>
    <w:r w:rsidR="00DB2BDD">
      <w:tab/>
    </w:r>
    <w:r w:rsidR="00DB2BDD">
      <w:tab/>
    </w:r>
    <w:r w:rsidR="00DB2BDD">
      <w:tab/>
    </w:r>
    <w:r w:rsidR="00DB2BDD">
      <w:tab/>
    </w:r>
    <w:r w:rsidR="00DB2BDD">
      <w:tab/>
    </w:r>
    <w:r w:rsidRPr="00962A8D">
      <w:rPr>
        <w:rStyle w:val="PageNumber"/>
      </w:rPr>
      <w:fldChar w:fldCharType="begin"/>
    </w:r>
    <w:r w:rsidRPr="00962A8D">
      <w:rPr>
        <w:rStyle w:val="PageNumber"/>
      </w:rPr>
      <w:instrText xml:space="preserve"> PAGE </w:instrText>
    </w:r>
    <w:r w:rsidRPr="00962A8D">
      <w:rPr>
        <w:rStyle w:val="PageNumber"/>
      </w:rPr>
      <w:fldChar w:fldCharType="separate"/>
    </w:r>
    <w:r w:rsidR="00535E57">
      <w:rPr>
        <w:rStyle w:val="PageNumber"/>
        <w:noProof/>
      </w:rPr>
      <w:t>1</w:t>
    </w:r>
    <w:r w:rsidRPr="00962A8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AB96" w14:textId="77777777" w:rsidR="006453E9" w:rsidRDefault="006453E9">
      <w:pPr>
        <w:spacing w:after="0" w:line="240" w:lineRule="auto"/>
      </w:pPr>
      <w:r>
        <w:separator/>
      </w:r>
    </w:p>
  </w:footnote>
  <w:footnote w:type="continuationSeparator" w:id="0">
    <w:p w14:paraId="34FB9F3C" w14:textId="77777777" w:rsidR="006453E9" w:rsidRDefault="0064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0D95F"/>
    <w:multiLevelType w:val="hybridMultilevel"/>
    <w:tmpl w:val="38BB9FB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FCC498"/>
    <w:multiLevelType w:val="hybridMultilevel"/>
    <w:tmpl w:val="828DE51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DD4CF9"/>
    <w:multiLevelType w:val="hybridMultilevel"/>
    <w:tmpl w:val="1BCE8B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109ACC"/>
    <w:multiLevelType w:val="hybridMultilevel"/>
    <w:tmpl w:val="A49BFE4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2E714A"/>
    <w:multiLevelType w:val="hybridMultilevel"/>
    <w:tmpl w:val="9BA5D758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B0653"/>
    <w:multiLevelType w:val="hybridMultilevel"/>
    <w:tmpl w:val="5B007862"/>
    <w:lvl w:ilvl="0" w:tplc="95AC7A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7" w15:restartNumberingAfterBreak="0">
    <w:nsid w:val="067D2137"/>
    <w:multiLevelType w:val="hybridMultilevel"/>
    <w:tmpl w:val="0012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 w15:restartNumberingAfterBreak="0">
    <w:nsid w:val="15017405"/>
    <w:multiLevelType w:val="multilevel"/>
    <w:tmpl w:val="6E0EA720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1B8D3711"/>
    <w:multiLevelType w:val="hybridMultilevel"/>
    <w:tmpl w:val="12EE7D60"/>
    <w:lvl w:ilvl="0" w:tplc="C6A8CC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105C8"/>
    <w:multiLevelType w:val="multilevel"/>
    <w:tmpl w:val="DCC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22BA8"/>
    <w:multiLevelType w:val="hybridMultilevel"/>
    <w:tmpl w:val="191A4934"/>
    <w:lvl w:ilvl="0" w:tplc="E7C28008">
      <w:start w:val="4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0175"/>
    <w:multiLevelType w:val="hybridMultilevel"/>
    <w:tmpl w:val="21C4A170"/>
    <w:lvl w:ilvl="0" w:tplc="84DED2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90212"/>
    <w:multiLevelType w:val="multilevel"/>
    <w:tmpl w:val="519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3348"/>
    <w:multiLevelType w:val="hybridMultilevel"/>
    <w:tmpl w:val="2DCEC1E2"/>
    <w:lvl w:ilvl="0" w:tplc="6330C8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19C4"/>
    <w:multiLevelType w:val="hybridMultilevel"/>
    <w:tmpl w:val="5472F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535E"/>
    <w:multiLevelType w:val="multilevel"/>
    <w:tmpl w:val="2C3AFD5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8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D1B8E"/>
    <w:multiLevelType w:val="multilevel"/>
    <w:tmpl w:val="92C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61EA1F"/>
    <w:multiLevelType w:val="hybridMultilevel"/>
    <w:tmpl w:val="6F23140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8D3C3C"/>
    <w:multiLevelType w:val="multilevel"/>
    <w:tmpl w:val="F80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22"/>
  </w:num>
  <w:num w:numId="5">
    <w:abstractNumId w:val="10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0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26"/>
  </w:num>
  <w:num w:numId="24">
    <w:abstractNumId w:val="19"/>
  </w:num>
  <w:num w:numId="25">
    <w:abstractNumId w:val="12"/>
  </w:num>
  <w:num w:numId="26">
    <w:abstractNumId w:val="32"/>
  </w:num>
  <w:num w:numId="27">
    <w:abstractNumId w:val="29"/>
  </w:num>
  <w:num w:numId="28">
    <w:abstractNumId w:val="7"/>
  </w:num>
  <w:num w:numId="29">
    <w:abstractNumId w:val="24"/>
  </w:num>
  <w:num w:numId="30">
    <w:abstractNumId w:val="25"/>
  </w:num>
  <w:num w:numId="31">
    <w:abstractNumId w:val="3"/>
  </w:num>
  <w:num w:numId="32">
    <w:abstractNumId w:val="2"/>
  </w:num>
  <w:num w:numId="33">
    <w:abstractNumId w:val="0"/>
  </w:num>
  <w:num w:numId="34">
    <w:abstractNumId w:val="31"/>
  </w:num>
  <w:num w:numId="35">
    <w:abstractNumId w:val="4"/>
  </w:num>
  <w:num w:numId="36">
    <w:abstractNumId w:val="1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F"/>
    <w:rsid w:val="00037F54"/>
    <w:rsid w:val="00050A79"/>
    <w:rsid w:val="000873CB"/>
    <w:rsid w:val="000926AD"/>
    <w:rsid w:val="00101C54"/>
    <w:rsid w:val="00154EE8"/>
    <w:rsid w:val="00185D7E"/>
    <w:rsid w:val="001967AC"/>
    <w:rsid w:val="001B0730"/>
    <w:rsid w:val="002111D7"/>
    <w:rsid w:val="00220D56"/>
    <w:rsid w:val="00242DE4"/>
    <w:rsid w:val="00262936"/>
    <w:rsid w:val="00264BFA"/>
    <w:rsid w:val="00280A29"/>
    <w:rsid w:val="002C52D1"/>
    <w:rsid w:val="002E7217"/>
    <w:rsid w:val="00300934"/>
    <w:rsid w:val="003837F4"/>
    <w:rsid w:val="00390EDE"/>
    <w:rsid w:val="00394302"/>
    <w:rsid w:val="003A6536"/>
    <w:rsid w:val="003A7092"/>
    <w:rsid w:val="003B7E65"/>
    <w:rsid w:val="003D6A0D"/>
    <w:rsid w:val="003E2A51"/>
    <w:rsid w:val="00401D52"/>
    <w:rsid w:val="00441ADF"/>
    <w:rsid w:val="004443EA"/>
    <w:rsid w:val="004709CD"/>
    <w:rsid w:val="004803EB"/>
    <w:rsid w:val="004807A4"/>
    <w:rsid w:val="00482EB8"/>
    <w:rsid w:val="004B56E3"/>
    <w:rsid w:val="004C6125"/>
    <w:rsid w:val="004D7234"/>
    <w:rsid w:val="004D7B5A"/>
    <w:rsid w:val="005110AD"/>
    <w:rsid w:val="0052099C"/>
    <w:rsid w:val="00535E57"/>
    <w:rsid w:val="0053604A"/>
    <w:rsid w:val="00547759"/>
    <w:rsid w:val="00556C0F"/>
    <w:rsid w:val="00562FE4"/>
    <w:rsid w:val="00595715"/>
    <w:rsid w:val="005A58AF"/>
    <w:rsid w:val="005B7548"/>
    <w:rsid w:val="005C6608"/>
    <w:rsid w:val="005F0960"/>
    <w:rsid w:val="005F59E3"/>
    <w:rsid w:val="005F62E5"/>
    <w:rsid w:val="005F7151"/>
    <w:rsid w:val="0062270F"/>
    <w:rsid w:val="006241CF"/>
    <w:rsid w:val="00624937"/>
    <w:rsid w:val="006453E9"/>
    <w:rsid w:val="0065348B"/>
    <w:rsid w:val="00674C9A"/>
    <w:rsid w:val="0067622D"/>
    <w:rsid w:val="00682141"/>
    <w:rsid w:val="006A346F"/>
    <w:rsid w:val="006C179D"/>
    <w:rsid w:val="006C7206"/>
    <w:rsid w:val="00771600"/>
    <w:rsid w:val="007A5006"/>
    <w:rsid w:val="007C1767"/>
    <w:rsid w:val="00834B51"/>
    <w:rsid w:val="00890963"/>
    <w:rsid w:val="008A186F"/>
    <w:rsid w:val="008D5E33"/>
    <w:rsid w:val="008D5FDE"/>
    <w:rsid w:val="00986C30"/>
    <w:rsid w:val="009D0F78"/>
    <w:rsid w:val="009F1A34"/>
    <w:rsid w:val="00A07484"/>
    <w:rsid w:val="00A1159A"/>
    <w:rsid w:val="00A2605C"/>
    <w:rsid w:val="00A3220A"/>
    <w:rsid w:val="00A56DBD"/>
    <w:rsid w:val="00AA4003"/>
    <w:rsid w:val="00AB52DD"/>
    <w:rsid w:val="00AC02F8"/>
    <w:rsid w:val="00AF4CD5"/>
    <w:rsid w:val="00B14A19"/>
    <w:rsid w:val="00B26794"/>
    <w:rsid w:val="00B952F8"/>
    <w:rsid w:val="00B97B5F"/>
    <w:rsid w:val="00BA69C4"/>
    <w:rsid w:val="00BF6BE6"/>
    <w:rsid w:val="00C145EC"/>
    <w:rsid w:val="00C72A39"/>
    <w:rsid w:val="00C85E9B"/>
    <w:rsid w:val="00CB3CE3"/>
    <w:rsid w:val="00D012C1"/>
    <w:rsid w:val="00D021A8"/>
    <w:rsid w:val="00D16B5B"/>
    <w:rsid w:val="00D8014F"/>
    <w:rsid w:val="00D853CE"/>
    <w:rsid w:val="00DB2BDD"/>
    <w:rsid w:val="00DD3174"/>
    <w:rsid w:val="00DF5517"/>
    <w:rsid w:val="00E05E50"/>
    <w:rsid w:val="00E46776"/>
    <w:rsid w:val="00E8608E"/>
    <w:rsid w:val="00E939D6"/>
    <w:rsid w:val="00EB4CEE"/>
    <w:rsid w:val="00EC1CFF"/>
    <w:rsid w:val="00F01D4B"/>
    <w:rsid w:val="00F14E0E"/>
    <w:rsid w:val="00F23449"/>
    <w:rsid w:val="00F30BE1"/>
    <w:rsid w:val="00F46D5F"/>
    <w:rsid w:val="00F56A68"/>
    <w:rsid w:val="00F80022"/>
    <w:rsid w:val="00F92045"/>
    <w:rsid w:val="00FB7340"/>
    <w:rsid w:val="00FB7CDD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039E1C"/>
  <w15:docId w15:val="{0E16D420-2C17-49A2-B697-31C204F5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0F"/>
    <w:pPr>
      <w:spacing w:after="160" w:line="259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62270F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uiPriority w:val="9"/>
    <w:qFormat/>
    <w:rsid w:val="0062270F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uiPriority w:val="9"/>
    <w:qFormat/>
    <w:rsid w:val="0062270F"/>
    <w:pPr>
      <w:keepNext/>
      <w:spacing w:before="240" w:after="60" w:line="360" w:lineRule="auto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ICEnormal"/>
    <w:link w:val="Heading4Char"/>
    <w:uiPriority w:val="9"/>
    <w:qFormat/>
    <w:rsid w:val="0062270F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70F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270F"/>
    <w:pPr>
      <w:keepNext/>
      <w:keepLines/>
      <w:spacing w:before="240" w:after="6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27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7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27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62270F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62270F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70F"/>
    <w:rPr>
      <w:rFonts w:eastAsiaTheme="minorEastAsia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270F"/>
    <w:rPr>
      <w:rFonts w:eastAsiaTheme="minorEastAsia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270F"/>
    <w:rPr>
      <w:rFonts w:eastAsiaTheme="minorEastAsia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2270F"/>
    <w:rPr>
      <w:rFonts w:eastAsiaTheme="minorEastAsia"/>
      <w:b/>
      <w:bCs/>
      <w:i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70F"/>
    <w:rPr>
      <w:rFonts w:eastAsiaTheme="majorEastAsia" w:cstheme="majorBidi"/>
      <w:b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62270F"/>
    <w:rPr>
      <w:rFonts w:eastAsiaTheme="majorEastAsia" w:cstheme="majorBidi"/>
      <w:b/>
      <w:i/>
      <w:iCs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62270F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6227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6227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FollowedHyperlink">
    <w:name w:val="FollowedHyperlink"/>
    <w:rsid w:val="0062270F"/>
    <w:rPr>
      <w:color w:val="800080"/>
      <w:u w:val="single"/>
    </w:rPr>
  </w:style>
  <w:style w:type="paragraph" w:styleId="Title">
    <w:name w:val="Title"/>
    <w:basedOn w:val="Normal"/>
    <w:next w:val="NICEnormal"/>
    <w:link w:val="TitleChar"/>
    <w:uiPriority w:val="10"/>
    <w:qFormat/>
    <w:rsid w:val="0062270F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270F"/>
    <w:rPr>
      <w:rFonts w:eastAsiaTheme="minorEastAsia" w:cs="Arial"/>
      <w:b/>
      <w:bCs/>
      <w:kern w:val="28"/>
      <w:sz w:val="40"/>
      <w:szCs w:val="32"/>
      <w:lang w:eastAsia="en-GB"/>
    </w:rPr>
  </w:style>
  <w:style w:type="paragraph" w:customStyle="1" w:styleId="Tableheading">
    <w:name w:val="Table heading"/>
    <w:basedOn w:val="Tabletext"/>
    <w:rsid w:val="0062270F"/>
    <w:pPr>
      <w:jc w:val="center"/>
    </w:pPr>
    <w:rPr>
      <w:b/>
      <w:bCs/>
      <w:sz w:val="24"/>
    </w:rPr>
  </w:style>
  <w:style w:type="paragraph" w:customStyle="1" w:styleId="Tabletext">
    <w:name w:val="Table text"/>
    <w:basedOn w:val="NICEnormal"/>
    <w:rsid w:val="0062270F"/>
    <w:pPr>
      <w:spacing w:after="60" w:line="240" w:lineRule="auto"/>
    </w:pPr>
    <w:rPr>
      <w:sz w:val="20"/>
    </w:rPr>
  </w:style>
  <w:style w:type="paragraph" w:customStyle="1" w:styleId="Tablesubheading">
    <w:name w:val="Table subheading"/>
    <w:basedOn w:val="Tabletext"/>
    <w:rsid w:val="0062270F"/>
    <w:pPr>
      <w:keepNext/>
    </w:pPr>
    <w:rPr>
      <w:b/>
      <w:bCs/>
      <w:color w:val="FFFFFF" w:themeColor="background1"/>
      <w:sz w:val="22"/>
    </w:rPr>
  </w:style>
  <w:style w:type="character" w:customStyle="1" w:styleId="Tablesubheadingarrow">
    <w:name w:val="Table subheading arrow"/>
    <w:basedOn w:val="DefaultParagraphFont"/>
    <w:uiPriority w:val="1"/>
    <w:rsid w:val="0062270F"/>
    <w:rPr>
      <w:rFonts w:ascii="Wingdings 3" w:hAnsi="Wingdings 3"/>
    </w:rPr>
  </w:style>
  <w:style w:type="paragraph" w:styleId="BalloonText">
    <w:name w:val="Balloon Text"/>
    <w:basedOn w:val="Normal"/>
    <w:link w:val="BalloonTextChar"/>
    <w:rsid w:val="0062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70F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Tablebullet">
    <w:name w:val="Table bullet"/>
    <w:basedOn w:val="Tabletext"/>
    <w:qFormat/>
    <w:rsid w:val="0062270F"/>
    <w:pPr>
      <w:numPr>
        <w:numId w:val="5"/>
      </w:numPr>
      <w:spacing w:after="0"/>
    </w:pPr>
  </w:style>
  <w:style w:type="paragraph" w:styleId="Header">
    <w:name w:val="header"/>
    <w:basedOn w:val="Normal"/>
    <w:link w:val="HeaderChar"/>
    <w:rsid w:val="0062270F"/>
    <w:pPr>
      <w:tabs>
        <w:tab w:val="center" w:pos="4153"/>
        <w:tab w:val="right" w:pos="8306"/>
      </w:tabs>
      <w:spacing w:after="120"/>
    </w:pPr>
  </w:style>
  <w:style w:type="character" w:customStyle="1" w:styleId="HeaderChar">
    <w:name w:val="Header Char"/>
    <w:basedOn w:val="DefaultParagraphFont"/>
    <w:link w:val="Header"/>
    <w:rsid w:val="0062270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62270F"/>
    <w:pPr>
      <w:tabs>
        <w:tab w:val="center" w:pos="4153"/>
        <w:tab w:val="right" w:pos="8306"/>
      </w:tabs>
      <w:spacing w:before="24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2270F"/>
    <w:rPr>
      <w:rFonts w:ascii="Arial" w:eastAsiaTheme="minorEastAsia" w:hAnsi="Arial"/>
      <w:lang w:eastAsia="en-GB"/>
    </w:rPr>
  </w:style>
  <w:style w:type="character" w:styleId="PageNumber">
    <w:name w:val="page number"/>
    <w:rsid w:val="0062270F"/>
    <w:rPr>
      <w:rFonts w:ascii="Arial" w:hAnsi="Arial"/>
      <w:sz w:val="24"/>
    </w:rPr>
  </w:style>
  <w:style w:type="paragraph" w:customStyle="1" w:styleId="Tabletextbold">
    <w:name w:val="Table text bold"/>
    <w:basedOn w:val="Tabletext"/>
    <w:rsid w:val="0062270F"/>
    <w:rPr>
      <w:b/>
      <w:bCs/>
    </w:rPr>
  </w:style>
  <w:style w:type="character" w:styleId="CommentReference">
    <w:name w:val="annotation reference"/>
    <w:rsid w:val="00622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70F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62270F"/>
    <w:rPr>
      <w:rFonts w:eastAsiaTheme="minorEastAsia"/>
      <w:sz w:val="20"/>
      <w:szCs w:val="20"/>
      <w:lang w:val="x-none" w:eastAsia="en-GB"/>
    </w:rPr>
  </w:style>
  <w:style w:type="character" w:styleId="Hyperlink">
    <w:name w:val="Hyperlink"/>
    <w:uiPriority w:val="99"/>
    <w:rsid w:val="0062270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62270F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rsid w:val="0062270F"/>
    <w:rPr>
      <w:rFonts w:ascii="Tahoma" w:eastAsiaTheme="minorEastAsia" w:hAnsi="Tahoma"/>
      <w:sz w:val="16"/>
      <w:szCs w:val="16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2270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2270F"/>
    <w:rPr>
      <w:rFonts w:eastAsiaTheme="minorEastAsia"/>
      <w:b/>
      <w:bCs/>
      <w:sz w:val="20"/>
      <w:szCs w:val="20"/>
      <w:lang w:val="x-none" w:eastAsia="en-GB"/>
    </w:rPr>
  </w:style>
  <w:style w:type="paragraph" w:customStyle="1" w:styleId="Guidanceissuedate">
    <w:name w:val="Guidance issue date"/>
    <w:basedOn w:val="NICEnormal"/>
    <w:qFormat/>
    <w:rsid w:val="0062270F"/>
    <w:rPr>
      <w:lang w:val="en-US"/>
    </w:rPr>
  </w:style>
  <w:style w:type="paragraph" w:customStyle="1" w:styleId="Documentissuedate">
    <w:name w:val="Document issue date"/>
    <w:basedOn w:val="NICEnormal"/>
    <w:qFormat/>
    <w:rsid w:val="0062270F"/>
    <w:rPr>
      <w:lang w:val="en-US"/>
    </w:rPr>
  </w:style>
  <w:style w:type="paragraph" w:styleId="FootnoteText">
    <w:name w:val="footnote text"/>
    <w:basedOn w:val="Normal"/>
    <w:link w:val="FootnoteTextChar"/>
    <w:rsid w:val="0062270F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270F"/>
    <w:rPr>
      <w:rFonts w:eastAsiaTheme="minorEastAsia" w:cs="Arial"/>
      <w:sz w:val="20"/>
      <w:szCs w:val="20"/>
      <w:lang w:eastAsia="en-GB"/>
    </w:rPr>
  </w:style>
  <w:style w:type="character" w:styleId="FootnoteReference">
    <w:name w:val="footnote reference"/>
    <w:rsid w:val="0062270F"/>
    <w:rPr>
      <w:vertAlign w:val="superscript"/>
    </w:rPr>
  </w:style>
  <w:style w:type="paragraph" w:customStyle="1" w:styleId="Tabletextitalic">
    <w:name w:val="Table text italic"/>
    <w:basedOn w:val="Tabletext"/>
    <w:qFormat/>
    <w:rsid w:val="0062270F"/>
    <w:rPr>
      <w:i/>
      <w:sz w:val="18"/>
    </w:rPr>
  </w:style>
  <w:style w:type="character" w:customStyle="1" w:styleId="Characterbold">
    <w:name w:val="Character bold"/>
    <w:basedOn w:val="DefaultParagraphFont"/>
    <w:uiPriority w:val="1"/>
    <w:qFormat/>
    <w:rsid w:val="0062270F"/>
    <w:rPr>
      <w:b/>
    </w:rPr>
  </w:style>
  <w:style w:type="character" w:customStyle="1" w:styleId="Characteritalic">
    <w:name w:val="Character italic"/>
    <w:basedOn w:val="DefaultParagraphFont"/>
    <w:uiPriority w:val="1"/>
    <w:qFormat/>
    <w:rsid w:val="0062270F"/>
    <w:rPr>
      <w:i/>
    </w:rPr>
  </w:style>
  <w:style w:type="character" w:customStyle="1" w:styleId="Charactersuperscript">
    <w:name w:val="Character superscript"/>
    <w:basedOn w:val="DefaultParagraphFont"/>
    <w:uiPriority w:val="1"/>
    <w:qFormat/>
    <w:rsid w:val="0062270F"/>
    <w:rPr>
      <w:vertAlign w:val="superscript"/>
    </w:rPr>
  </w:style>
  <w:style w:type="character" w:customStyle="1" w:styleId="Charactersubscript">
    <w:name w:val="Character subscript"/>
    <w:basedOn w:val="DefaultParagraphFont"/>
    <w:uiPriority w:val="1"/>
    <w:qFormat/>
    <w:rsid w:val="0062270F"/>
    <w:rPr>
      <w:vertAlign w:val="subscript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2270F"/>
    <w:pPr>
      <w:spacing w:after="100"/>
      <w:ind w:left="440"/>
    </w:pPr>
  </w:style>
  <w:style w:type="paragraph" w:customStyle="1" w:styleId="Lastupdated">
    <w:name w:val="Last updated"/>
    <w:basedOn w:val="Tabletextbold"/>
    <w:qFormat/>
    <w:rsid w:val="0062270F"/>
    <w:rPr>
      <w:b w:val="0"/>
      <w:sz w:val="16"/>
    </w:rPr>
  </w:style>
  <w:style w:type="character" w:customStyle="1" w:styleId="Characterbolditalic">
    <w:name w:val="Character bold italic"/>
    <w:basedOn w:val="Characteritalic"/>
    <w:uiPriority w:val="1"/>
    <w:qFormat/>
    <w:rsid w:val="0062270F"/>
    <w:rPr>
      <w:b/>
      <w:i/>
    </w:rPr>
  </w:style>
  <w:style w:type="character" w:styleId="Emphasis">
    <w:name w:val="Emphasis"/>
    <w:basedOn w:val="DefaultParagraphFont"/>
    <w:uiPriority w:val="20"/>
    <w:qFormat/>
    <w:rsid w:val="00C85E9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75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nhideWhenUsed/>
    <w:rsid w:val="00A2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Eye"/><Relationship Id="rId18" Type="http://schemas.openxmlformats.org/officeDocument/2006/relationships/hyperlink" Target="https://www.nice.org.uk/guidance/ng84/resources/visual-summary-pdf-4723226606" TargetMode="External"/><Relationship Id="rId26" Type="http://schemas.openxmlformats.org/officeDocument/2006/relationships/hyperlink" Target="https://assets.publishing.service.gov.uk/government/uploads/system/uploads/attachment_data/file/927195/UTI_diagnostic_flowchart_NICE-October_2020-FINAL.pdf" TargetMode="External"/><Relationship Id="rId39" Type="http://schemas.openxmlformats.org/officeDocument/2006/relationships/hyperlink" Target="https://www.england.nhs.uk/wp-content/uploads/2018/03/otc-guidance-for-ccgs.pdf" TargetMode="External"/><Relationship Id="rId21" Type="http://schemas.openxmlformats.org/officeDocument/2006/relationships/hyperlink" Target="https://assets.publishing.service.gov.uk/government/uploads/system/uploads/attachment_data/file/927195/UTI_diagnostic_flowchart_NICE-October_2020-FINAL.pdf" TargetMode="External"/><Relationship Id="rId34" Type="http://schemas.openxmlformats.org/officeDocument/2006/relationships/hyperlink" Target="http://elearning.rcgp.org.uk/course/info.php?popup=0&amp;id=161" TargetMode="External"/><Relationship Id="rId42" Type="http://schemas.openxmlformats.org/officeDocument/2006/relationships/hyperlink" Target="https://www.england.nhs.uk/wp-content/uploads/2018/03/otc-guidance-for-ccgs.pd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#LowerRTI"/><Relationship Id="rId29" Type="http://schemas.openxmlformats.org/officeDocument/2006/relationships/hyperlink" Target="https://www.england.nhs.uk/wp-content/uploads/2018/03/otc-guidance-for-ccg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Genital"/><Relationship Id="rId24" Type="http://schemas.openxmlformats.org/officeDocument/2006/relationships/hyperlink" Target="https://www.nice.org.uk/guidance/ng111/resources/visual-summary-pdf-6544161037" TargetMode="External"/><Relationship Id="rId32" Type="http://schemas.openxmlformats.org/officeDocument/2006/relationships/hyperlink" Target="https://www.nice.org.uk/guidance/ng199/resources/visual-summary-pdf-9194639149" TargetMode="External"/><Relationship Id="rId37" Type="http://schemas.openxmlformats.org/officeDocument/2006/relationships/hyperlink" Target="https://www.nice.org.uk/guidance/ng153/resources/visual-summary-pdf-7084853533" TargetMode="External"/><Relationship Id="rId40" Type="http://schemas.openxmlformats.org/officeDocument/2006/relationships/hyperlink" Target="http://www.nhs.uk/Service-Search/Dentist/LocationSearch/3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#UTI"/><Relationship Id="rId23" Type="http://schemas.openxmlformats.org/officeDocument/2006/relationships/hyperlink" Target="https://www.nice.org.uk/guidance/ng110/resources/visual-summary-pdf-6544018477" TargetMode="External"/><Relationship Id="rId28" Type="http://schemas.openxmlformats.org/officeDocument/2006/relationships/hyperlink" Target="https://www.england.nhs.uk/wp-content/uploads/2018/03/otc-guidance-for-ccgs.pdf" TargetMode="External"/><Relationship Id="rId36" Type="http://schemas.openxmlformats.org/officeDocument/2006/relationships/hyperlink" Target="https://www.prescqipp.info/umbraco/surface/authorisedmediasurface/index?url=%2fmedia%2f4701%2fhydrogen-peroxide-1-cream-for-impetigo-21.pdf" TargetMode="External"/><Relationship Id="rId10" Type="http://schemas.openxmlformats.org/officeDocument/2006/relationships/hyperlink" Target="#GI"/><Relationship Id="rId19" Type="http://schemas.openxmlformats.org/officeDocument/2006/relationships/hyperlink" Target="https://www.nice.org.uk/guidance/ng139/resources/visual-summary-pdf-6903414829" TargetMode="External"/><Relationship Id="rId31" Type="http://schemas.openxmlformats.org/officeDocument/2006/relationships/hyperlink" Target="https://www.nhsborders.scot.nhs.uk/media/197883/threadworms-June-2014.pdf" TargetMode="External"/><Relationship Id="rId44" Type="http://schemas.openxmlformats.org/officeDocument/2006/relationships/hyperlink" Target="https://www.bnf.org/wp-content/uploads/2022/01/summary-antimicrobial-prescribing-guidance_jan-22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Meningitis"/><Relationship Id="rId14" Type="http://schemas.openxmlformats.org/officeDocument/2006/relationships/hyperlink" Target="#Dental"/><Relationship Id="rId22" Type="http://schemas.openxmlformats.org/officeDocument/2006/relationships/hyperlink" Target="https://www.nice.org.uk/guidance/ng109/resources/visual-summary-pdf-6544021069" TargetMode="External"/><Relationship Id="rId27" Type="http://schemas.openxmlformats.org/officeDocument/2006/relationships/hyperlink" Target="https://www.nice.org.uk/guidance/ng113/resources/visual-summary-pdf-6599495053" TargetMode="External"/><Relationship Id="rId30" Type="http://schemas.openxmlformats.org/officeDocument/2006/relationships/hyperlink" Target="https://www.nhs.uk/conditions/threadworms/" TargetMode="External"/><Relationship Id="rId35" Type="http://schemas.openxmlformats.org/officeDocument/2006/relationships/hyperlink" Target="https://www.nice.org.uk/guidance/ng190/resources/visual-summary-pdf-9018190045" TargetMode="External"/><Relationship Id="rId43" Type="http://schemas.openxmlformats.org/officeDocument/2006/relationships/hyperlink" Target="https://www.bnf.org/wp-content/uploads/2021/09/summary-antimicrobial-prescribing-guidance_aug-21_final.pdf" TargetMode="External"/><Relationship Id="rId8" Type="http://schemas.openxmlformats.org/officeDocument/2006/relationships/hyperlink" Target="https://www.bnf.org/wp-content/uploads/2022/01/summary-antimicrobial-prescribing-guidance_jan-22_final.pdf" TargetMode="External"/><Relationship Id="rId3" Type="http://schemas.openxmlformats.org/officeDocument/2006/relationships/settings" Target="settings.xml"/><Relationship Id="rId12" Type="http://schemas.openxmlformats.org/officeDocument/2006/relationships/hyperlink" Target="#Skin"/><Relationship Id="rId17" Type="http://schemas.openxmlformats.org/officeDocument/2006/relationships/hyperlink" Target="#UpperRTI"/><Relationship Id="rId25" Type="http://schemas.openxmlformats.org/officeDocument/2006/relationships/hyperlink" Target="https://www.nice.org.uk/guidance/ng112/resources/visual-summary-pdf-6544163629" TargetMode="External"/><Relationship Id="rId33" Type="http://schemas.openxmlformats.org/officeDocument/2006/relationships/hyperlink" Target="https://www.bashhguidelines.org/media/1291/eo-2020.pdf" TargetMode="External"/><Relationship Id="rId38" Type="http://schemas.openxmlformats.org/officeDocument/2006/relationships/hyperlink" Target="https://www.nice.org.uk/guidance/ng141/resources/visual-summary-pdf-690840183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ice.org.uk/guidance/cg54" TargetMode="External"/><Relationship Id="rId41" Type="http://schemas.openxmlformats.org/officeDocument/2006/relationships/hyperlink" Target="https://www.medwaycommunityhealthcare.nhs.uk/our-services/a-z-services/dental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Gray</dc:creator>
  <cp:lastModifiedBy>BUTRYMOWICZ, Maria (NHS KENT AND MEDWAY CCG)</cp:lastModifiedBy>
  <cp:revision>2</cp:revision>
  <dcterms:created xsi:type="dcterms:W3CDTF">2022-04-12T14:29:00Z</dcterms:created>
  <dcterms:modified xsi:type="dcterms:W3CDTF">2022-04-12T14:29:00Z</dcterms:modified>
</cp:coreProperties>
</file>