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28F0" w14:textId="42B4240C" w:rsidR="00C349F2" w:rsidRDefault="00647897" w:rsidP="00C16D05">
      <w:pPr>
        <w:pStyle w:val="NoSpacing"/>
        <w:ind w:left="5040" w:firstLine="720"/>
      </w:pPr>
      <w:r>
        <w:rPr>
          <w:noProof/>
        </w:rPr>
        <w:drawing>
          <wp:inline distT="0" distB="0" distL="0" distR="0" wp14:anchorId="7C509A6E" wp14:editId="3B415849">
            <wp:extent cx="2266950" cy="1120262"/>
            <wp:effectExtent l="0" t="0" r="0" b="0"/>
            <wp:docPr id="2" name="Picture 2" descr="Graphical user interfac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4298" cy="1123893"/>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026"/>
      </w:tblGrid>
      <w:tr w:rsidR="00C349F2" w:rsidRPr="00A60BF0" w14:paraId="7D464991" w14:textId="77777777" w:rsidTr="00C349F2">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
              <w:gridCol w:w="9025"/>
            </w:tblGrid>
            <w:tr w:rsidR="00C349F2" w:rsidRPr="00A60BF0" w14:paraId="57AD3833" w14:textId="77777777">
              <w:trPr>
                <w:jc w:val="center"/>
              </w:trPr>
              <w:tc>
                <w:tcPr>
                  <w:tcW w:w="0" w:type="auto"/>
                  <w:hideMark/>
                </w:tcPr>
                <w:p w14:paraId="12E03CB2" w14:textId="77777777" w:rsidR="00C349F2" w:rsidRPr="00A60BF0" w:rsidRDefault="00C349F2">
                  <w:pPr>
                    <w:rPr>
                      <w:rFonts w:asciiTheme="minorHAnsi" w:eastAsia="Times New Roman" w:hAnsiTheme="minorHAnsi" w:cstheme="minorHAnsi"/>
                      <w:sz w:val="24"/>
                      <w:szCs w:val="24"/>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5"/>
                  </w:tblGrid>
                  <w:tr w:rsidR="00C349F2" w:rsidRPr="00A60BF0" w14:paraId="09C71E6D" w14:textId="77777777">
                    <w:tc>
                      <w:tcPr>
                        <w:tcW w:w="0" w:type="auto"/>
                        <w:tcMar>
                          <w:top w:w="135" w:type="dxa"/>
                          <w:left w:w="270" w:type="dxa"/>
                          <w:bottom w:w="135" w:type="dxa"/>
                          <w:right w:w="270" w:type="dxa"/>
                        </w:tcMar>
                        <w:vAlign w:val="center"/>
                        <w:hideMark/>
                      </w:tcPr>
                      <w:tbl>
                        <w:tblPr>
                          <w:tblW w:w="31572" w:type="dxa"/>
                          <w:shd w:val="clear" w:color="auto" w:fill="00A499"/>
                          <w:tblLook w:val="04A0" w:firstRow="1" w:lastRow="0" w:firstColumn="1" w:lastColumn="0" w:noHBand="0" w:noVBand="1"/>
                        </w:tblPr>
                        <w:tblGrid>
                          <w:gridCol w:w="9299"/>
                          <w:gridCol w:w="3675"/>
                          <w:gridCol w:w="9299"/>
                          <w:gridCol w:w="9299"/>
                        </w:tblGrid>
                        <w:tr w:rsidR="00D50B90" w:rsidRPr="00A60BF0" w14:paraId="718B434D" w14:textId="4734D6F1" w:rsidTr="00D50B90">
                          <w:trPr>
                            <w:trHeight w:val="1031"/>
                          </w:trPr>
                          <w:tc>
                            <w:tcPr>
                              <w:tcW w:w="9299" w:type="dxa"/>
                              <w:shd w:val="clear" w:color="auto" w:fill="00A499"/>
                              <w:tcMar>
                                <w:top w:w="270" w:type="dxa"/>
                                <w:left w:w="270" w:type="dxa"/>
                                <w:bottom w:w="270" w:type="dxa"/>
                                <w:right w:w="270" w:type="dxa"/>
                              </w:tcMar>
                              <w:hideMark/>
                            </w:tcPr>
                            <w:p w14:paraId="3F85228D" w14:textId="24B32D4A" w:rsidR="00D50B90" w:rsidRPr="00F732FC" w:rsidRDefault="00D50B90">
                              <w:pPr>
                                <w:pStyle w:val="Heading1"/>
                                <w:rPr>
                                  <w:rFonts w:asciiTheme="majorHAnsi" w:eastAsia="Times New Roman" w:hAnsiTheme="majorHAnsi" w:cstheme="minorHAnsi"/>
                                  <w:sz w:val="24"/>
                                  <w:szCs w:val="24"/>
                                </w:rPr>
                              </w:pPr>
                              <w:r w:rsidRPr="00C17A5E">
                                <w:rPr>
                                  <w:rFonts w:asciiTheme="majorHAnsi" w:eastAsia="Times New Roman" w:hAnsiTheme="majorHAnsi" w:cstheme="minorHAnsi"/>
                                  <w:color w:val="002060"/>
                                  <w:sz w:val="32"/>
                                  <w:szCs w:val="32"/>
                                </w:rPr>
                                <w:t>Medicines Optimisation Update Newsletter – [</w:t>
                              </w:r>
                              <w:r>
                                <w:rPr>
                                  <w:rFonts w:asciiTheme="majorHAnsi" w:eastAsia="Times New Roman" w:hAnsiTheme="majorHAnsi" w:cstheme="minorHAnsi"/>
                                  <w:color w:val="002060"/>
                                  <w:sz w:val="32"/>
                                  <w:szCs w:val="32"/>
                                </w:rPr>
                                <w:t>March 2023</w:t>
                              </w:r>
                              <w:r w:rsidR="00D96D64">
                                <w:rPr>
                                  <w:rFonts w:asciiTheme="majorHAnsi" w:eastAsia="Times New Roman" w:hAnsiTheme="majorHAnsi" w:cstheme="minorHAnsi"/>
                                  <w:color w:val="002060"/>
                                  <w:sz w:val="32"/>
                                  <w:szCs w:val="32"/>
                                </w:rPr>
                                <w:t xml:space="preserve"> </w:t>
                              </w:r>
                              <w:r w:rsidR="00D96D64">
                                <w:rPr>
                                  <w:rFonts w:eastAsia="Times New Roman"/>
                                  <w:color w:val="002060"/>
                                  <w:sz w:val="32"/>
                                  <w:szCs w:val="32"/>
                                </w:rPr>
                                <w:t>Issue 44</w:t>
                              </w:r>
                              <w:r>
                                <w:rPr>
                                  <w:rFonts w:asciiTheme="majorHAnsi" w:eastAsia="Times New Roman" w:hAnsiTheme="majorHAnsi" w:cstheme="minorHAnsi"/>
                                  <w:color w:val="002060"/>
                                  <w:sz w:val="32"/>
                                  <w:szCs w:val="32"/>
                                </w:rPr>
                                <w:t>}</w:t>
                              </w:r>
                            </w:p>
                          </w:tc>
                          <w:tc>
                            <w:tcPr>
                              <w:tcW w:w="3675" w:type="dxa"/>
                              <w:shd w:val="clear" w:color="auto" w:fill="00A499"/>
                            </w:tcPr>
                            <w:p w14:paraId="19BE64DF" w14:textId="77777777" w:rsidR="00D50B90" w:rsidRPr="00C17A5E" w:rsidRDefault="00D50B90">
                              <w:pPr>
                                <w:pStyle w:val="Heading1"/>
                                <w:rPr>
                                  <w:rFonts w:asciiTheme="majorHAnsi" w:eastAsia="Times New Roman" w:hAnsiTheme="majorHAnsi" w:cstheme="minorHAnsi"/>
                                  <w:color w:val="002060"/>
                                  <w:sz w:val="32"/>
                                  <w:szCs w:val="32"/>
                                </w:rPr>
                              </w:pPr>
                            </w:p>
                          </w:tc>
                          <w:tc>
                            <w:tcPr>
                              <w:tcW w:w="9299" w:type="dxa"/>
                              <w:shd w:val="clear" w:color="auto" w:fill="00A499"/>
                            </w:tcPr>
                            <w:p w14:paraId="0BDF4228" w14:textId="27D461F3" w:rsidR="00D50B90" w:rsidRPr="00C17A5E" w:rsidRDefault="00D50B90">
                              <w:pPr>
                                <w:pStyle w:val="Heading1"/>
                                <w:rPr>
                                  <w:rFonts w:asciiTheme="majorHAnsi" w:eastAsia="Times New Roman" w:hAnsiTheme="majorHAnsi" w:cstheme="minorHAnsi"/>
                                  <w:color w:val="002060"/>
                                  <w:sz w:val="32"/>
                                  <w:szCs w:val="32"/>
                                </w:rPr>
                              </w:pPr>
                            </w:p>
                          </w:tc>
                          <w:tc>
                            <w:tcPr>
                              <w:tcW w:w="9299" w:type="dxa"/>
                              <w:shd w:val="clear" w:color="auto" w:fill="00A499"/>
                            </w:tcPr>
                            <w:p w14:paraId="5126A774" w14:textId="7F12B60E" w:rsidR="00D50B90" w:rsidRPr="00C17A5E" w:rsidRDefault="00D50B90">
                              <w:pPr>
                                <w:pStyle w:val="Heading1"/>
                                <w:rPr>
                                  <w:rFonts w:asciiTheme="majorHAnsi" w:eastAsia="Times New Roman" w:hAnsiTheme="majorHAnsi" w:cstheme="minorHAnsi"/>
                                  <w:color w:val="002060"/>
                                  <w:sz w:val="32"/>
                                  <w:szCs w:val="32"/>
                                </w:rPr>
                              </w:pPr>
                            </w:p>
                          </w:tc>
                        </w:tr>
                      </w:tbl>
                      <w:p w14:paraId="06A1D723" w14:textId="77777777" w:rsidR="00C349F2" w:rsidRPr="00A60BF0" w:rsidRDefault="00C349F2">
                        <w:pPr>
                          <w:rPr>
                            <w:rFonts w:asciiTheme="minorHAnsi" w:eastAsia="Times New Roman" w:hAnsiTheme="minorHAnsi" w:cstheme="minorHAnsi"/>
                            <w:sz w:val="24"/>
                            <w:szCs w:val="24"/>
                          </w:rPr>
                        </w:pPr>
                      </w:p>
                    </w:tc>
                  </w:tr>
                </w:tbl>
                <w:p w14:paraId="36E704BB" w14:textId="77777777" w:rsidR="00C349F2" w:rsidRPr="00A60BF0" w:rsidRDefault="00C349F2">
                  <w:pPr>
                    <w:rPr>
                      <w:rFonts w:asciiTheme="minorHAnsi" w:eastAsia="Times New Roman" w:hAnsiTheme="minorHAnsi" w:cstheme="minorHAnsi"/>
                      <w:sz w:val="24"/>
                      <w:szCs w:val="24"/>
                    </w:rPr>
                  </w:pPr>
                </w:p>
              </w:tc>
            </w:tr>
          </w:tbl>
          <w:p w14:paraId="2B51D432" w14:textId="77777777" w:rsidR="00C349F2" w:rsidRPr="00A60BF0" w:rsidRDefault="00C349F2">
            <w:pPr>
              <w:jc w:val="center"/>
              <w:rPr>
                <w:rFonts w:asciiTheme="minorHAnsi" w:eastAsia="Times New Roman" w:hAnsiTheme="minorHAnsi" w:cstheme="minorHAnsi"/>
                <w:sz w:val="24"/>
                <w:szCs w:val="24"/>
              </w:rPr>
            </w:pPr>
          </w:p>
        </w:tc>
      </w:tr>
    </w:tbl>
    <w:p w14:paraId="11C245A7" w14:textId="12DCD0A5" w:rsidR="0011778C" w:rsidRPr="00AE07EF" w:rsidRDefault="00AE07EF" w:rsidP="002F0D68">
      <w:pPr>
        <w:pStyle w:val="ListBullet"/>
        <w:numPr>
          <w:ilvl w:val="0"/>
          <w:numId w:val="18"/>
        </w:numPr>
        <w:spacing w:line="480" w:lineRule="auto"/>
        <w:rPr>
          <w:rStyle w:val="Hyperlink"/>
          <w:rFonts w:asciiTheme="majorHAnsi" w:hAnsiTheme="majorHAnsi"/>
          <w:sz w:val="24"/>
          <w:szCs w:val="24"/>
        </w:rPr>
      </w:pPr>
      <w:r>
        <w:rPr>
          <w:rFonts w:asciiTheme="majorHAnsi" w:hAnsiTheme="majorHAnsi"/>
          <w:color w:val="0000FF"/>
          <w:sz w:val="24"/>
          <w:szCs w:val="24"/>
          <w:u w:val="single"/>
        </w:rPr>
        <w:fldChar w:fldCharType="begin"/>
      </w:r>
      <w:r w:rsidR="00F33E4F">
        <w:rPr>
          <w:rFonts w:asciiTheme="majorHAnsi" w:hAnsiTheme="majorHAnsi"/>
          <w:color w:val="0000FF"/>
          <w:sz w:val="24"/>
          <w:szCs w:val="24"/>
          <w:u w:val="single"/>
        </w:rPr>
        <w:instrText>HYPERLINK  \l "Story1"</w:instrText>
      </w:r>
      <w:r w:rsidR="00F33E4F">
        <w:rPr>
          <w:rFonts w:asciiTheme="majorHAnsi" w:hAnsiTheme="majorHAnsi"/>
          <w:color w:val="0000FF"/>
          <w:sz w:val="24"/>
          <w:szCs w:val="24"/>
          <w:u w:val="single"/>
        </w:rPr>
      </w:r>
      <w:r>
        <w:rPr>
          <w:rFonts w:asciiTheme="majorHAnsi" w:hAnsiTheme="majorHAnsi"/>
          <w:color w:val="0000FF"/>
          <w:sz w:val="24"/>
          <w:szCs w:val="24"/>
          <w:u w:val="single"/>
        </w:rPr>
        <w:fldChar w:fldCharType="separate"/>
      </w:r>
      <w:r w:rsidR="0011778C" w:rsidRPr="00AE07EF">
        <w:rPr>
          <w:rStyle w:val="Hyperlink"/>
          <w:rFonts w:asciiTheme="majorHAnsi" w:hAnsiTheme="majorHAnsi"/>
          <w:sz w:val="24"/>
          <w:szCs w:val="24"/>
        </w:rPr>
        <w:t>Launch of the Kent and Med</w:t>
      </w:r>
      <w:r w:rsidR="0011778C" w:rsidRPr="00AE07EF">
        <w:rPr>
          <w:rStyle w:val="Hyperlink"/>
          <w:rFonts w:asciiTheme="majorHAnsi" w:hAnsiTheme="majorHAnsi"/>
          <w:sz w:val="24"/>
          <w:szCs w:val="24"/>
        </w:rPr>
        <w:t>w</w:t>
      </w:r>
      <w:r w:rsidR="0011778C" w:rsidRPr="00AE07EF">
        <w:rPr>
          <w:rStyle w:val="Hyperlink"/>
          <w:rFonts w:asciiTheme="majorHAnsi" w:hAnsiTheme="majorHAnsi"/>
          <w:sz w:val="24"/>
          <w:szCs w:val="24"/>
        </w:rPr>
        <w:t>ay ICB Medicines Optimis</w:t>
      </w:r>
      <w:r w:rsidR="0011778C" w:rsidRPr="00AE07EF">
        <w:rPr>
          <w:rStyle w:val="Hyperlink"/>
          <w:rFonts w:asciiTheme="majorHAnsi" w:hAnsiTheme="majorHAnsi"/>
          <w:sz w:val="24"/>
          <w:szCs w:val="24"/>
        </w:rPr>
        <w:t>a</w:t>
      </w:r>
      <w:r w:rsidR="0011778C" w:rsidRPr="00AE07EF">
        <w:rPr>
          <w:rStyle w:val="Hyperlink"/>
          <w:rFonts w:asciiTheme="majorHAnsi" w:hAnsiTheme="majorHAnsi"/>
          <w:sz w:val="24"/>
          <w:szCs w:val="24"/>
        </w:rPr>
        <w:t>tion Webpage</w:t>
      </w:r>
    </w:p>
    <w:p w14:paraId="2B653106" w14:textId="63732102" w:rsidR="002C6C63" w:rsidRPr="00AE07EF" w:rsidRDefault="00AE07EF" w:rsidP="002C6C63">
      <w:pPr>
        <w:pStyle w:val="ListBullet"/>
        <w:numPr>
          <w:ilvl w:val="0"/>
          <w:numId w:val="18"/>
        </w:numPr>
        <w:spacing w:line="480" w:lineRule="auto"/>
        <w:rPr>
          <w:rStyle w:val="Hyperlink"/>
          <w:rFonts w:asciiTheme="majorHAnsi" w:hAnsiTheme="majorHAnsi"/>
          <w:sz w:val="24"/>
          <w:szCs w:val="24"/>
        </w:rPr>
      </w:pPr>
      <w:r>
        <w:rPr>
          <w:rFonts w:asciiTheme="majorHAnsi" w:hAnsiTheme="majorHAnsi"/>
          <w:color w:val="0000FF"/>
          <w:sz w:val="24"/>
          <w:szCs w:val="24"/>
          <w:u w:val="single"/>
        </w:rPr>
        <w:fldChar w:fldCharType="end"/>
      </w:r>
      <w:r w:rsidR="002C6C63" w:rsidRPr="00AE07EF">
        <w:rPr>
          <w:rFonts w:asciiTheme="majorHAnsi" w:hAnsiTheme="majorHAnsi"/>
          <w:color w:val="0000FF"/>
          <w:sz w:val="24"/>
          <w:szCs w:val="24"/>
        </w:rPr>
        <w:fldChar w:fldCharType="begin"/>
      </w:r>
      <w:r w:rsidR="00F33E4F">
        <w:rPr>
          <w:rFonts w:asciiTheme="majorHAnsi" w:hAnsiTheme="majorHAnsi"/>
          <w:color w:val="0000FF"/>
          <w:sz w:val="24"/>
          <w:szCs w:val="24"/>
        </w:rPr>
        <w:instrText>HYPERLINK  \l "Story2"</w:instrText>
      </w:r>
      <w:r w:rsidR="00F33E4F" w:rsidRPr="00AE07EF">
        <w:rPr>
          <w:rFonts w:asciiTheme="majorHAnsi" w:hAnsiTheme="majorHAnsi"/>
          <w:color w:val="0000FF"/>
          <w:sz w:val="24"/>
          <w:szCs w:val="24"/>
        </w:rPr>
      </w:r>
      <w:r w:rsidR="002C6C63" w:rsidRPr="00AE07EF">
        <w:rPr>
          <w:rFonts w:asciiTheme="majorHAnsi" w:hAnsiTheme="majorHAnsi"/>
          <w:color w:val="0000FF"/>
          <w:sz w:val="24"/>
          <w:szCs w:val="24"/>
        </w:rPr>
        <w:fldChar w:fldCharType="separate"/>
      </w:r>
      <w:r w:rsidR="002C6C63" w:rsidRPr="00AE07EF">
        <w:rPr>
          <w:rStyle w:val="Hyperlink"/>
          <w:rFonts w:asciiTheme="majorHAnsi" w:hAnsiTheme="majorHAnsi"/>
          <w:sz w:val="24"/>
          <w:szCs w:val="24"/>
        </w:rPr>
        <w:t>Dexcom ONE t</w:t>
      </w:r>
      <w:r w:rsidR="002C6C63" w:rsidRPr="00AE07EF">
        <w:rPr>
          <w:rStyle w:val="Hyperlink"/>
          <w:rFonts w:asciiTheme="majorHAnsi" w:hAnsiTheme="majorHAnsi"/>
          <w:sz w:val="24"/>
          <w:szCs w:val="24"/>
        </w:rPr>
        <w:t>r</w:t>
      </w:r>
      <w:r w:rsidR="002C6C63" w:rsidRPr="00AE07EF">
        <w:rPr>
          <w:rStyle w:val="Hyperlink"/>
          <w:rFonts w:asciiTheme="majorHAnsi" w:hAnsiTheme="majorHAnsi"/>
          <w:sz w:val="24"/>
          <w:szCs w:val="24"/>
        </w:rPr>
        <w:t>ansm</w:t>
      </w:r>
      <w:r w:rsidR="002C6C63" w:rsidRPr="00AE07EF">
        <w:rPr>
          <w:rStyle w:val="Hyperlink"/>
          <w:rFonts w:asciiTheme="majorHAnsi" w:hAnsiTheme="majorHAnsi"/>
          <w:sz w:val="24"/>
          <w:szCs w:val="24"/>
        </w:rPr>
        <w:t>i</w:t>
      </w:r>
      <w:r w:rsidR="002C6C63" w:rsidRPr="00AE07EF">
        <w:rPr>
          <w:rStyle w:val="Hyperlink"/>
          <w:rFonts w:asciiTheme="majorHAnsi" w:hAnsiTheme="majorHAnsi"/>
          <w:sz w:val="24"/>
          <w:szCs w:val="24"/>
        </w:rPr>
        <w:t xml:space="preserve">tters on EMIS formulary </w:t>
      </w:r>
    </w:p>
    <w:p w14:paraId="607BB096" w14:textId="25A6EF0C" w:rsidR="00C103E8" w:rsidRPr="00AE07EF" w:rsidRDefault="002C6C63" w:rsidP="002C6C63">
      <w:pPr>
        <w:pStyle w:val="ListParagraph"/>
        <w:numPr>
          <w:ilvl w:val="0"/>
          <w:numId w:val="18"/>
        </w:numPr>
        <w:rPr>
          <w:rStyle w:val="Hyperlink"/>
          <w:rFonts w:ascii="Cambria" w:hAnsi="Cambria" w:cs="Arial"/>
          <w:sz w:val="24"/>
          <w:szCs w:val="24"/>
        </w:rPr>
      </w:pPr>
      <w:r w:rsidRPr="00AE07EF">
        <w:rPr>
          <w:rFonts w:asciiTheme="majorHAnsi" w:hAnsiTheme="majorHAnsi"/>
          <w:color w:val="0000FF"/>
          <w:sz w:val="24"/>
          <w:szCs w:val="24"/>
        </w:rPr>
        <w:fldChar w:fldCharType="end"/>
      </w:r>
      <w:r w:rsidR="00AE07EF">
        <w:rPr>
          <w:rFonts w:ascii="Cambria" w:hAnsi="Cambria" w:cs="Arial"/>
          <w:color w:val="0000FF"/>
          <w:sz w:val="24"/>
          <w:szCs w:val="24"/>
        </w:rPr>
        <w:fldChar w:fldCharType="begin"/>
      </w:r>
      <w:r w:rsidR="00F33E4F">
        <w:rPr>
          <w:rFonts w:ascii="Cambria" w:hAnsi="Cambria" w:cs="Arial"/>
          <w:color w:val="0000FF"/>
          <w:sz w:val="24"/>
          <w:szCs w:val="24"/>
        </w:rPr>
        <w:instrText>HYPERLINK  \l "Story3"</w:instrText>
      </w:r>
      <w:r w:rsidR="00F33E4F">
        <w:rPr>
          <w:rFonts w:ascii="Cambria" w:hAnsi="Cambria" w:cs="Arial"/>
          <w:color w:val="0000FF"/>
          <w:sz w:val="24"/>
          <w:szCs w:val="24"/>
        </w:rPr>
      </w:r>
      <w:r w:rsidR="00AE07EF">
        <w:rPr>
          <w:rFonts w:ascii="Cambria" w:hAnsi="Cambria" w:cs="Arial"/>
          <w:color w:val="0000FF"/>
          <w:sz w:val="24"/>
          <w:szCs w:val="24"/>
        </w:rPr>
        <w:fldChar w:fldCharType="separate"/>
      </w:r>
      <w:r w:rsidR="00C103E8" w:rsidRPr="00AE07EF">
        <w:rPr>
          <w:rStyle w:val="Hyperlink"/>
          <w:rFonts w:ascii="Cambria" w:hAnsi="Cambria" w:cs="Arial"/>
          <w:sz w:val="24"/>
          <w:szCs w:val="24"/>
        </w:rPr>
        <w:t xml:space="preserve">Group A Strep (GAS) </w:t>
      </w:r>
      <w:r w:rsidR="00C103E8" w:rsidRPr="00AE07EF">
        <w:rPr>
          <w:rStyle w:val="Hyperlink"/>
          <w:rFonts w:ascii="Cambria" w:hAnsi="Cambria" w:cs="Arial"/>
          <w:sz w:val="24"/>
          <w:szCs w:val="24"/>
        </w:rPr>
        <w:t>g</w:t>
      </w:r>
      <w:r w:rsidR="00C103E8" w:rsidRPr="00AE07EF">
        <w:rPr>
          <w:rStyle w:val="Hyperlink"/>
          <w:rFonts w:ascii="Cambria" w:hAnsi="Cambria" w:cs="Arial"/>
          <w:sz w:val="24"/>
          <w:szCs w:val="24"/>
        </w:rPr>
        <w:t>uidan</w:t>
      </w:r>
      <w:r w:rsidR="00C103E8" w:rsidRPr="00AE07EF">
        <w:rPr>
          <w:rStyle w:val="Hyperlink"/>
          <w:rFonts w:ascii="Cambria" w:hAnsi="Cambria" w:cs="Arial"/>
          <w:sz w:val="24"/>
          <w:szCs w:val="24"/>
        </w:rPr>
        <w:t>c</w:t>
      </w:r>
      <w:r w:rsidR="00C103E8" w:rsidRPr="00AE07EF">
        <w:rPr>
          <w:rStyle w:val="Hyperlink"/>
          <w:rFonts w:ascii="Cambria" w:hAnsi="Cambria" w:cs="Arial"/>
          <w:sz w:val="24"/>
          <w:szCs w:val="24"/>
        </w:rPr>
        <w:t xml:space="preserve">e update and impact on MOS sore throat </w:t>
      </w:r>
      <w:r w:rsidR="00F33E4F" w:rsidRPr="00AE07EF">
        <w:rPr>
          <w:rStyle w:val="Hyperlink"/>
          <w:rFonts w:ascii="Cambria" w:hAnsi="Cambria" w:cs="Arial"/>
          <w:sz w:val="24"/>
          <w:szCs w:val="24"/>
        </w:rPr>
        <w:t>audit.</w:t>
      </w:r>
    </w:p>
    <w:p w14:paraId="15A74608" w14:textId="33C0CAAD" w:rsidR="0011778C" w:rsidRPr="00AE07EF" w:rsidRDefault="00AE07EF" w:rsidP="002F0D68">
      <w:pPr>
        <w:pStyle w:val="ListBullet"/>
        <w:numPr>
          <w:ilvl w:val="0"/>
          <w:numId w:val="18"/>
        </w:numPr>
        <w:spacing w:line="480" w:lineRule="auto"/>
        <w:rPr>
          <w:rStyle w:val="Hyperlink"/>
          <w:rFonts w:asciiTheme="majorHAnsi" w:hAnsiTheme="majorHAnsi"/>
          <w:sz w:val="24"/>
          <w:szCs w:val="24"/>
        </w:rPr>
      </w:pPr>
      <w:r>
        <w:rPr>
          <w:rFonts w:ascii="Cambria" w:hAnsi="Cambria" w:cs="Arial"/>
          <w:color w:val="0000FF"/>
          <w:sz w:val="24"/>
          <w:szCs w:val="24"/>
          <w:lang w:eastAsia="en-US"/>
        </w:rPr>
        <w:fldChar w:fldCharType="end"/>
      </w:r>
      <w:r>
        <w:rPr>
          <w:rFonts w:asciiTheme="majorHAnsi" w:hAnsiTheme="majorHAnsi" w:cstheme="minorHAnsi"/>
          <w:color w:val="0000FF"/>
          <w:sz w:val="24"/>
          <w:szCs w:val="24"/>
        </w:rPr>
        <w:fldChar w:fldCharType="begin"/>
      </w:r>
      <w:r w:rsidR="00F33E4F">
        <w:rPr>
          <w:rFonts w:asciiTheme="majorHAnsi" w:hAnsiTheme="majorHAnsi" w:cstheme="minorHAnsi"/>
          <w:color w:val="0000FF"/>
          <w:sz w:val="24"/>
          <w:szCs w:val="24"/>
        </w:rPr>
        <w:instrText>HYPERLINK  \l "Story4"</w:instrText>
      </w:r>
      <w:r w:rsidR="00F33E4F">
        <w:rPr>
          <w:rFonts w:asciiTheme="majorHAnsi" w:hAnsiTheme="majorHAnsi" w:cstheme="minorHAnsi"/>
          <w:color w:val="0000FF"/>
          <w:sz w:val="24"/>
          <w:szCs w:val="24"/>
        </w:rPr>
      </w:r>
      <w:r>
        <w:rPr>
          <w:rFonts w:asciiTheme="majorHAnsi" w:hAnsiTheme="majorHAnsi" w:cstheme="minorHAnsi"/>
          <w:color w:val="0000FF"/>
          <w:sz w:val="24"/>
          <w:szCs w:val="24"/>
        </w:rPr>
        <w:fldChar w:fldCharType="separate"/>
      </w:r>
      <w:r w:rsidR="00E03396" w:rsidRPr="00AE07EF">
        <w:rPr>
          <w:rStyle w:val="Hyperlink"/>
          <w:rFonts w:asciiTheme="majorHAnsi" w:hAnsiTheme="majorHAnsi" w:cstheme="minorHAnsi"/>
          <w:sz w:val="24"/>
          <w:szCs w:val="24"/>
        </w:rPr>
        <w:t xml:space="preserve">Inhaler </w:t>
      </w:r>
      <w:r w:rsidR="0011778C" w:rsidRPr="00AE07EF">
        <w:rPr>
          <w:rStyle w:val="Hyperlink"/>
          <w:rFonts w:asciiTheme="majorHAnsi" w:hAnsiTheme="majorHAnsi" w:cstheme="minorHAnsi"/>
          <w:sz w:val="24"/>
          <w:szCs w:val="24"/>
        </w:rPr>
        <w:t>Spacer</w:t>
      </w:r>
      <w:r w:rsidR="00FA37B4" w:rsidRPr="00AE07EF">
        <w:rPr>
          <w:rStyle w:val="Hyperlink"/>
          <w:rFonts w:asciiTheme="majorHAnsi" w:hAnsiTheme="majorHAnsi" w:cstheme="minorHAnsi"/>
          <w:sz w:val="24"/>
          <w:szCs w:val="24"/>
        </w:rPr>
        <w:t xml:space="preserve"> </w:t>
      </w:r>
      <w:r w:rsidR="00FA37B4" w:rsidRPr="00AE07EF">
        <w:rPr>
          <w:rStyle w:val="Hyperlink"/>
          <w:rFonts w:asciiTheme="majorHAnsi" w:hAnsiTheme="majorHAnsi" w:cstheme="minorHAnsi"/>
          <w:sz w:val="24"/>
          <w:szCs w:val="24"/>
        </w:rPr>
        <w:t>D</w:t>
      </w:r>
      <w:r w:rsidR="00FA37B4" w:rsidRPr="00AE07EF">
        <w:rPr>
          <w:rStyle w:val="Hyperlink"/>
          <w:rFonts w:asciiTheme="majorHAnsi" w:hAnsiTheme="majorHAnsi" w:cstheme="minorHAnsi"/>
          <w:sz w:val="24"/>
          <w:szCs w:val="24"/>
        </w:rPr>
        <w:t>evic</w:t>
      </w:r>
      <w:r w:rsidR="00FA37B4" w:rsidRPr="00AE07EF">
        <w:rPr>
          <w:rStyle w:val="Hyperlink"/>
          <w:rFonts w:asciiTheme="majorHAnsi" w:hAnsiTheme="majorHAnsi" w:cstheme="minorHAnsi"/>
          <w:sz w:val="24"/>
          <w:szCs w:val="24"/>
        </w:rPr>
        <w:t>e</w:t>
      </w:r>
      <w:r w:rsidR="0011778C" w:rsidRPr="00AE07EF">
        <w:rPr>
          <w:rStyle w:val="Hyperlink"/>
          <w:rFonts w:asciiTheme="majorHAnsi" w:hAnsiTheme="majorHAnsi" w:cstheme="minorHAnsi"/>
          <w:sz w:val="24"/>
          <w:szCs w:val="24"/>
        </w:rPr>
        <w:t xml:space="preserve"> Prescribing</w:t>
      </w:r>
    </w:p>
    <w:p w14:paraId="5EA5F8AC" w14:textId="61EB29A9" w:rsidR="00BC681E" w:rsidRPr="00AE07EF" w:rsidRDefault="00AE07EF" w:rsidP="0011778C">
      <w:pPr>
        <w:pStyle w:val="ListBullet"/>
        <w:numPr>
          <w:ilvl w:val="0"/>
          <w:numId w:val="18"/>
        </w:numPr>
        <w:spacing w:line="480" w:lineRule="auto"/>
        <w:rPr>
          <w:rStyle w:val="Hyperlink"/>
          <w:rFonts w:asciiTheme="majorHAnsi" w:hAnsiTheme="majorHAnsi"/>
          <w:sz w:val="24"/>
          <w:szCs w:val="24"/>
        </w:rPr>
      </w:pPr>
      <w:r>
        <w:rPr>
          <w:rFonts w:asciiTheme="majorHAnsi" w:hAnsiTheme="majorHAnsi" w:cstheme="minorHAnsi"/>
          <w:color w:val="0000FF"/>
          <w:sz w:val="24"/>
          <w:szCs w:val="24"/>
        </w:rPr>
        <w:fldChar w:fldCharType="end"/>
      </w:r>
      <w:r>
        <w:rPr>
          <w:rFonts w:asciiTheme="majorHAnsi" w:eastAsia="Times New Roman" w:hAnsiTheme="majorHAnsi" w:cstheme="minorHAnsi"/>
          <w:color w:val="0000FF"/>
          <w:sz w:val="24"/>
          <w:szCs w:val="24"/>
        </w:rPr>
        <w:fldChar w:fldCharType="begin"/>
      </w:r>
      <w:r w:rsidR="00F33E4F">
        <w:rPr>
          <w:rFonts w:asciiTheme="majorHAnsi" w:eastAsia="Times New Roman" w:hAnsiTheme="majorHAnsi" w:cstheme="minorHAnsi"/>
          <w:color w:val="0000FF"/>
          <w:sz w:val="24"/>
          <w:szCs w:val="24"/>
        </w:rPr>
        <w:instrText>HYPERLINK  \l "Story5"</w:instrText>
      </w:r>
      <w:r w:rsidR="00F33E4F">
        <w:rPr>
          <w:rFonts w:asciiTheme="majorHAnsi" w:eastAsia="Times New Roman" w:hAnsiTheme="majorHAnsi" w:cstheme="minorHAnsi"/>
          <w:color w:val="0000FF"/>
          <w:sz w:val="24"/>
          <w:szCs w:val="24"/>
        </w:rPr>
      </w:r>
      <w:r>
        <w:rPr>
          <w:rFonts w:asciiTheme="majorHAnsi" w:eastAsia="Times New Roman" w:hAnsiTheme="majorHAnsi" w:cstheme="minorHAnsi"/>
          <w:color w:val="0000FF"/>
          <w:sz w:val="24"/>
          <w:szCs w:val="24"/>
        </w:rPr>
        <w:fldChar w:fldCharType="separate"/>
      </w:r>
      <w:r w:rsidR="0011778C" w:rsidRPr="00AE07EF">
        <w:rPr>
          <w:rStyle w:val="Hyperlink"/>
          <w:rFonts w:asciiTheme="majorHAnsi" w:eastAsia="Times New Roman" w:hAnsiTheme="majorHAnsi" w:cstheme="minorHAnsi"/>
          <w:sz w:val="24"/>
          <w:szCs w:val="24"/>
        </w:rPr>
        <w:t>S</w:t>
      </w:r>
      <w:r w:rsidR="0011778C" w:rsidRPr="00AE07EF">
        <w:rPr>
          <w:rStyle w:val="Hyperlink"/>
          <w:rFonts w:asciiTheme="majorHAnsi" w:eastAsia="Times New Roman" w:hAnsiTheme="majorHAnsi" w:cstheme="minorHAnsi"/>
          <w:sz w:val="24"/>
          <w:szCs w:val="24"/>
        </w:rPr>
        <w:t>a</w:t>
      </w:r>
      <w:r w:rsidR="0011778C" w:rsidRPr="00AE07EF">
        <w:rPr>
          <w:rStyle w:val="Hyperlink"/>
          <w:rFonts w:asciiTheme="majorHAnsi" w:eastAsia="Times New Roman" w:hAnsiTheme="majorHAnsi" w:cstheme="minorHAnsi"/>
          <w:sz w:val="24"/>
          <w:szCs w:val="24"/>
        </w:rPr>
        <w:t>lbut</w:t>
      </w:r>
      <w:r w:rsidR="0011778C" w:rsidRPr="00AE07EF">
        <w:rPr>
          <w:rStyle w:val="Hyperlink"/>
          <w:rFonts w:asciiTheme="majorHAnsi" w:eastAsia="Times New Roman" w:hAnsiTheme="majorHAnsi" w:cstheme="minorHAnsi"/>
          <w:sz w:val="24"/>
          <w:szCs w:val="24"/>
        </w:rPr>
        <w:t>a</w:t>
      </w:r>
      <w:r w:rsidR="0011778C" w:rsidRPr="00AE07EF">
        <w:rPr>
          <w:rStyle w:val="Hyperlink"/>
          <w:rFonts w:asciiTheme="majorHAnsi" w:eastAsia="Times New Roman" w:hAnsiTheme="majorHAnsi" w:cstheme="minorHAnsi"/>
          <w:sz w:val="24"/>
          <w:szCs w:val="24"/>
        </w:rPr>
        <w:t>mol Prescribing</w:t>
      </w:r>
    </w:p>
    <w:p w14:paraId="06AF6C9B" w14:textId="0C703295" w:rsidR="002C6C63" w:rsidRPr="00AE07EF" w:rsidRDefault="00AE07EF" w:rsidP="002C6C63">
      <w:pPr>
        <w:pStyle w:val="ListBullet"/>
        <w:numPr>
          <w:ilvl w:val="0"/>
          <w:numId w:val="18"/>
        </w:numPr>
        <w:spacing w:line="480" w:lineRule="auto"/>
        <w:rPr>
          <w:rStyle w:val="Hyperlink"/>
          <w:rFonts w:asciiTheme="majorHAnsi" w:hAnsiTheme="majorHAnsi"/>
          <w:sz w:val="24"/>
          <w:szCs w:val="24"/>
        </w:rPr>
      </w:pPr>
      <w:r>
        <w:rPr>
          <w:rFonts w:asciiTheme="majorHAnsi" w:eastAsia="Times New Roman" w:hAnsiTheme="majorHAnsi" w:cstheme="minorHAnsi"/>
          <w:color w:val="0000FF"/>
          <w:sz w:val="24"/>
          <w:szCs w:val="24"/>
        </w:rPr>
        <w:fldChar w:fldCharType="end"/>
      </w:r>
      <w:r w:rsidR="002C6C63">
        <w:rPr>
          <w:rFonts w:asciiTheme="majorHAnsi" w:hAnsiTheme="majorHAnsi"/>
          <w:color w:val="0000FF"/>
          <w:sz w:val="24"/>
          <w:szCs w:val="24"/>
        </w:rPr>
        <w:fldChar w:fldCharType="begin"/>
      </w:r>
      <w:r w:rsidR="00F33E4F">
        <w:rPr>
          <w:rFonts w:asciiTheme="majorHAnsi" w:hAnsiTheme="majorHAnsi"/>
          <w:color w:val="0000FF"/>
          <w:sz w:val="24"/>
          <w:szCs w:val="24"/>
        </w:rPr>
        <w:instrText>HYPERLINK  \l "Story6"</w:instrText>
      </w:r>
      <w:r w:rsidR="00F33E4F">
        <w:rPr>
          <w:rFonts w:asciiTheme="majorHAnsi" w:hAnsiTheme="majorHAnsi"/>
          <w:color w:val="0000FF"/>
          <w:sz w:val="24"/>
          <w:szCs w:val="24"/>
        </w:rPr>
      </w:r>
      <w:r w:rsidR="002C6C63">
        <w:rPr>
          <w:rFonts w:asciiTheme="majorHAnsi" w:hAnsiTheme="majorHAnsi"/>
          <w:color w:val="0000FF"/>
          <w:sz w:val="24"/>
          <w:szCs w:val="24"/>
        </w:rPr>
        <w:fldChar w:fldCharType="separate"/>
      </w:r>
      <w:r w:rsidR="002C6C63" w:rsidRPr="00AE07EF">
        <w:rPr>
          <w:rStyle w:val="Hyperlink"/>
          <w:rFonts w:asciiTheme="majorHAnsi" w:hAnsiTheme="majorHAnsi"/>
          <w:sz w:val="24"/>
          <w:szCs w:val="24"/>
        </w:rPr>
        <w:t>MDI to</w:t>
      </w:r>
      <w:r w:rsidR="002C6C63" w:rsidRPr="00AE07EF">
        <w:rPr>
          <w:rStyle w:val="Hyperlink"/>
          <w:rFonts w:asciiTheme="majorHAnsi" w:hAnsiTheme="majorHAnsi"/>
          <w:sz w:val="24"/>
          <w:szCs w:val="24"/>
        </w:rPr>
        <w:t xml:space="preserve"> </w:t>
      </w:r>
      <w:r w:rsidR="002C6C63" w:rsidRPr="00AE07EF">
        <w:rPr>
          <w:rStyle w:val="Hyperlink"/>
          <w:rFonts w:asciiTheme="majorHAnsi" w:hAnsiTheme="majorHAnsi"/>
          <w:sz w:val="24"/>
          <w:szCs w:val="24"/>
        </w:rPr>
        <w:t>D</w:t>
      </w:r>
      <w:r w:rsidR="002C6C63" w:rsidRPr="00AE07EF">
        <w:rPr>
          <w:rStyle w:val="Hyperlink"/>
          <w:rFonts w:asciiTheme="majorHAnsi" w:hAnsiTheme="majorHAnsi"/>
          <w:sz w:val="24"/>
          <w:szCs w:val="24"/>
        </w:rPr>
        <w:t>P</w:t>
      </w:r>
      <w:r w:rsidR="002C6C63" w:rsidRPr="00AE07EF">
        <w:rPr>
          <w:rStyle w:val="Hyperlink"/>
          <w:rFonts w:asciiTheme="majorHAnsi" w:hAnsiTheme="majorHAnsi"/>
          <w:sz w:val="24"/>
          <w:szCs w:val="24"/>
        </w:rPr>
        <w:t>I</w:t>
      </w:r>
      <w:r w:rsidR="002C6C63" w:rsidRPr="00AE07EF">
        <w:rPr>
          <w:rStyle w:val="Hyperlink"/>
          <w:rFonts w:asciiTheme="majorHAnsi" w:hAnsiTheme="majorHAnsi"/>
          <w:sz w:val="24"/>
          <w:szCs w:val="24"/>
        </w:rPr>
        <w:t xml:space="preserve"> </w:t>
      </w:r>
      <w:r w:rsidR="002C6C63" w:rsidRPr="00AE07EF">
        <w:rPr>
          <w:rStyle w:val="Hyperlink"/>
          <w:rFonts w:asciiTheme="majorHAnsi" w:hAnsiTheme="majorHAnsi"/>
          <w:sz w:val="24"/>
          <w:szCs w:val="24"/>
        </w:rPr>
        <w:t>S</w:t>
      </w:r>
      <w:r w:rsidR="002C6C63" w:rsidRPr="00AE07EF">
        <w:rPr>
          <w:rStyle w:val="Hyperlink"/>
          <w:rFonts w:asciiTheme="majorHAnsi" w:hAnsiTheme="majorHAnsi"/>
          <w:sz w:val="24"/>
          <w:szCs w:val="24"/>
        </w:rPr>
        <w:t>w</w:t>
      </w:r>
      <w:r w:rsidR="002C6C63" w:rsidRPr="00AE07EF">
        <w:rPr>
          <w:rStyle w:val="Hyperlink"/>
          <w:rFonts w:asciiTheme="majorHAnsi" w:hAnsiTheme="majorHAnsi"/>
          <w:sz w:val="24"/>
          <w:szCs w:val="24"/>
        </w:rPr>
        <w:t>itch</w:t>
      </w:r>
    </w:p>
    <w:p w14:paraId="23419A58" w14:textId="2B053E54" w:rsidR="003F3235" w:rsidRPr="00F33E4F" w:rsidRDefault="002C6C63">
      <w:pPr>
        <w:pStyle w:val="ListBullet"/>
        <w:numPr>
          <w:ilvl w:val="0"/>
          <w:numId w:val="18"/>
        </w:numPr>
        <w:spacing w:line="480" w:lineRule="auto"/>
        <w:rPr>
          <w:rStyle w:val="Hyperlink"/>
          <w:rFonts w:asciiTheme="majorHAnsi" w:hAnsiTheme="majorHAnsi"/>
          <w:sz w:val="24"/>
          <w:szCs w:val="24"/>
        </w:rPr>
      </w:pPr>
      <w:r w:rsidRPr="002C6C63">
        <w:rPr>
          <w:rFonts w:asciiTheme="majorHAnsi" w:hAnsiTheme="majorHAnsi"/>
          <w:color w:val="0000FF"/>
          <w:sz w:val="24"/>
          <w:szCs w:val="24"/>
        </w:rPr>
        <w:fldChar w:fldCharType="end"/>
      </w:r>
      <w:r w:rsidR="00F33E4F">
        <w:rPr>
          <w:rFonts w:asciiTheme="majorHAnsi" w:hAnsiTheme="majorHAnsi"/>
          <w:color w:val="0000FF"/>
          <w:sz w:val="24"/>
          <w:szCs w:val="24"/>
        </w:rPr>
        <w:fldChar w:fldCharType="begin"/>
      </w:r>
      <w:r w:rsidR="00F33E4F">
        <w:rPr>
          <w:rFonts w:asciiTheme="majorHAnsi" w:hAnsiTheme="majorHAnsi"/>
          <w:color w:val="0000FF"/>
          <w:sz w:val="24"/>
          <w:szCs w:val="24"/>
        </w:rPr>
        <w:instrText>HYPERLINK  \l "Story7"</w:instrText>
      </w:r>
      <w:r w:rsidR="00F33E4F">
        <w:rPr>
          <w:rFonts w:asciiTheme="majorHAnsi" w:hAnsiTheme="majorHAnsi"/>
          <w:color w:val="0000FF"/>
          <w:sz w:val="24"/>
          <w:szCs w:val="24"/>
        </w:rPr>
      </w:r>
      <w:r w:rsidR="00F33E4F">
        <w:rPr>
          <w:rFonts w:asciiTheme="majorHAnsi" w:hAnsiTheme="majorHAnsi"/>
          <w:color w:val="0000FF"/>
          <w:sz w:val="24"/>
          <w:szCs w:val="24"/>
        </w:rPr>
        <w:fldChar w:fldCharType="separate"/>
      </w:r>
      <w:r w:rsidR="003F3235" w:rsidRPr="00F33E4F">
        <w:rPr>
          <w:rStyle w:val="Hyperlink"/>
          <w:rFonts w:asciiTheme="majorHAnsi" w:hAnsiTheme="majorHAnsi"/>
          <w:sz w:val="24"/>
          <w:szCs w:val="24"/>
        </w:rPr>
        <w:t>MHRA Me</w:t>
      </w:r>
      <w:r w:rsidR="003F3235" w:rsidRPr="00F33E4F">
        <w:rPr>
          <w:rStyle w:val="Hyperlink"/>
          <w:rFonts w:asciiTheme="majorHAnsi" w:hAnsiTheme="majorHAnsi"/>
          <w:sz w:val="24"/>
          <w:szCs w:val="24"/>
        </w:rPr>
        <w:t>t</w:t>
      </w:r>
      <w:r w:rsidR="003F3235" w:rsidRPr="00F33E4F">
        <w:rPr>
          <w:rStyle w:val="Hyperlink"/>
          <w:rFonts w:asciiTheme="majorHAnsi" w:hAnsiTheme="majorHAnsi"/>
          <w:sz w:val="24"/>
          <w:szCs w:val="24"/>
        </w:rPr>
        <w:t>olazon</w:t>
      </w:r>
      <w:r w:rsidR="003F3235" w:rsidRPr="00F33E4F">
        <w:rPr>
          <w:rStyle w:val="Hyperlink"/>
          <w:rFonts w:asciiTheme="majorHAnsi" w:hAnsiTheme="majorHAnsi"/>
          <w:sz w:val="24"/>
          <w:szCs w:val="24"/>
        </w:rPr>
        <w:t>e</w:t>
      </w:r>
      <w:r w:rsidR="003F3235" w:rsidRPr="00F33E4F">
        <w:rPr>
          <w:rStyle w:val="Hyperlink"/>
          <w:rFonts w:asciiTheme="majorHAnsi" w:hAnsiTheme="majorHAnsi"/>
          <w:sz w:val="24"/>
          <w:szCs w:val="24"/>
        </w:rPr>
        <w:t xml:space="preserve"> Drug Safety Update </w:t>
      </w:r>
    </w:p>
    <w:p w14:paraId="50EA8DC8" w14:textId="673F9914" w:rsidR="00C103E8" w:rsidRPr="00AE07EF" w:rsidRDefault="00F33E4F" w:rsidP="00C103E8">
      <w:pPr>
        <w:pStyle w:val="ListBullet"/>
        <w:numPr>
          <w:ilvl w:val="0"/>
          <w:numId w:val="18"/>
        </w:numPr>
        <w:spacing w:line="480" w:lineRule="auto"/>
        <w:rPr>
          <w:rStyle w:val="Hyperlink"/>
          <w:rFonts w:asciiTheme="majorHAnsi" w:hAnsiTheme="majorHAnsi"/>
          <w:sz w:val="24"/>
          <w:szCs w:val="24"/>
        </w:rPr>
      </w:pPr>
      <w:r>
        <w:rPr>
          <w:rFonts w:asciiTheme="majorHAnsi" w:hAnsiTheme="majorHAnsi"/>
          <w:color w:val="0000FF"/>
          <w:sz w:val="24"/>
          <w:szCs w:val="24"/>
        </w:rPr>
        <w:fldChar w:fldCharType="end"/>
      </w:r>
      <w:r w:rsidR="00AE07EF">
        <w:rPr>
          <w:rFonts w:asciiTheme="majorHAnsi" w:hAnsiTheme="majorHAnsi"/>
          <w:color w:val="0000FF"/>
          <w:sz w:val="24"/>
          <w:szCs w:val="24"/>
          <w:u w:val="single"/>
        </w:rPr>
        <w:fldChar w:fldCharType="begin"/>
      </w:r>
      <w:r>
        <w:rPr>
          <w:rFonts w:asciiTheme="majorHAnsi" w:hAnsiTheme="majorHAnsi"/>
          <w:color w:val="0000FF"/>
          <w:sz w:val="24"/>
          <w:szCs w:val="24"/>
          <w:u w:val="single"/>
        </w:rPr>
        <w:instrText>HYPERLINK  \l "Story8"</w:instrText>
      </w:r>
      <w:r>
        <w:rPr>
          <w:rFonts w:asciiTheme="majorHAnsi" w:hAnsiTheme="majorHAnsi"/>
          <w:color w:val="0000FF"/>
          <w:sz w:val="24"/>
          <w:szCs w:val="24"/>
          <w:u w:val="single"/>
        </w:rPr>
      </w:r>
      <w:r w:rsidR="00AE07EF">
        <w:rPr>
          <w:rFonts w:asciiTheme="majorHAnsi" w:hAnsiTheme="majorHAnsi"/>
          <w:color w:val="0000FF"/>
          <w:sz w:val="24"/>
          <w:szCs w:val="24"/>
          <w:u w:val="single"/>
        </w:rPr>
        <w:fldChar w:fldCharType="separate"/>
      </w:r>
      <w:r w:rsidR="00C103E8" w:rsidRPr="00AE07EF">
        <w:rPr>
          <w:rStyle w:val="Hyperlink"/>
          <w:rFonts w:asciiTheme="majorHAnsi" w:hAnsiTheme="majorHAnsi"/>
          <w:sz w:val="24"/>
          <w:szCs w:val="24"/>
        </w:rPr>
        <w:t>Clinical Fello</w:t>
      </w:r>
      <w:r w:rsidR="00C103E8" w:rsidRPr="00AE07EF">
        <w:rPr>
          <w:rStyle w:val="Hyperlink"/>
          <w:rFonts w:asciiTheme="majorHAnsi" w:hAnsiTheme="majorHAnsi"/>
          <w:sz w:val="24"/>
          <w:szCs w:val="24"/>
        </w:rPr>
        <w:t>w</w:t>
      </w:r>
      <w:r w:rsidR="00C103E8" w:rsidRPr="00AE07EF">
        <w:rPr>
          <w:rStyle w:val="Hyperlink"/>
          <w:rFonts w:asciiTheme="majorHAnsi" w:hAnsiTheme="majorHAnsi"/>
          <w:sz w:val="24"/>
          <w:szCs w:val="24"/>
        </w:rPr>
        <w:t xml:space="preserve"> Schem</w:t>
      </w:r>
      <w:r w:rsidR="00C103E8" w:rsidRPr="00AE07EF">
        <w:rPr>
          <w:rStyle w:val="Hyperlink"/>
          <w:rFonts w:asciiTheme="majorHAnsi" w:hAnsiTheme="majorHAnsi"/>
          <w:sz w:val="24"/>
          <w:szCs w:val="24"/>
        </w:rPr>
        <w:t>e</w:t>
      </w:r>
      <w:r w:rsidR="00C103E8" w:rsidRPr="00AE07EF">
        <w:rPr>
          <w:rStyle w:val="Hyperlink"/>
          <w:rFonts w:asciiTheme="majorHAnsi" w:hAnsiTheme="majorHAnsi"/>
          <w:sz w:val="24"/>
          <w:szCs w:val="24"/>
        </w:rPr>
        <w:t xml:space="preserve"> Application Information</w:t>
      </w:r>
    </w:p>
    <w:p w14:paraId="0DD00784" w14:textId="06A31536" w:rsidR="00C103E8" w:rsidRPr="00AE07EF" w:rsidRDefault="00AE07EF" w:rsidP="00C103E8">
      <w:pPr>
        <w:pStyle w:val="ListBullet"/>
        <w:numPr>
          <w:ilvl w:val="0"/>
          <w:numId w:val="18"/>
        </w:numPr>
        <w:spacing w:line="480" w:lineRule="auto"/>
        <w:rPr>
          <w:rStyle w:val="Hyperlink"/>
          <w:rFonts w:asciiTheme="majorHAnsi" w:hAnsiTheme="majorHAnsi"/>
          <w:sz w:val="24"/>
          <w:szCs w:val="24"/>
        </w:rPr>
      </w:pPr>
      <w:r>
        <w:rPr>
          <w:rFonts w:asciiTheme="majorHAnsi" w:hAnsiTheme="majorHAnsi"/>
          <w:color w:val="0000FF"/>
          <w:sz w:val="24"/>
          <w:szCs w:val="24"/>
          <w:u w:val="single"/>
        </w:rPr>
        <w:fldChar w:fldCharType="end"/>
      </w:r>
      <w:r>
        <w:rPr>
          <w:rFonts w:asciiTheme="majorHAnsi" w:hAnsiTheme="majorHAnsi"/>
          <w:color w:val="0000FF"/>
          <w:sz w:val="24"/>
          <w:szCs w:val="24"/>
          <w:u w:val="single"/>
        </w:rPr>
        <w:fldChar w:fldCharType="begin"/>
      </w:r>
      <w:r w:rsidR="007074F4">
        <w:rPr>
          <w:rFonts w:asciiTheme="majorHAnsi" w:hAnsiTheme="majorHAnsi"/>
          <w:color w:val="0000FF"/>
          <w:sz w:val="24"/>
          <w:szCs w:val="24"/>
          <w:u w:val="single"/>
        </w:rPr>
        <w:instrText>HYPERLINK  \l "Story9"</w:instrText>
      </w:r>
      <w:r w:rsidR="007074F4">
        <w:rPr>
          <w:rFonts w:asciiTheme="majorHAnsi" w:hAnsiTheme="majorHAnsi"/>
          <w:color w:val="0000FF"/>
          <w:sz w:val="24"/>
          <w:szCs w:val="24"/>
          <w:u w:val="single"/>
        </w:rPr>
      </w:r>
      <w:r>
        <w:rPr>
          <w:rFonts w:asciiTheme="majorHAnsi" w:hAnsiTheme="majorHAnsi"/>
          <w:color w:val="0000FF"/>
          <w:sz w:val="24"/>
          <w:szCs w:val="24"/>
          <w:u w:val="single"/>
        </w:rPr>
        <w:fldChar w:fldCharType="separate"/>
      </w:r>
      <w:r w:rsidR="00C103E8" w:rsidRPr="00AE07EF">
        <w:rPr>
          <w:rStyle w:val="Hyperlink"/>
          <w:rFonts w:asciiTheme="majorHAnsi" w:hAnsiTheme="majorHAnsi"/>
          <w:sz w:val="24"/>
          <w:szCs w:val="24"/>
        </w:rPr>
        <w:t>NICE CG1</w:t>
      </w:r>
      <w:r w:rsidR="00C103E8" w:rsidRPr="00AE07EF">
        <w:rPr>
          <w:rStyle w:val="Hyperlink"/>
          <w:rFonts w:asciiTheme="majorHAnsi" w:hAnsiTheme="majorHAnsi"/>
          <w:sz w:val="24"/>
          <w:szCs w:val="24"/>
        </w:rPr>
        <w:t>8</w:t>
      </w:r>
      <w:r w:rsidR="00C103E8" w:rsidRPr="00AE07EF">
        <w:rPr>
          <w:rStyle w:val="Hyperlink"/>
          <w:rFonts w:asciiTheme="majorHAnsi" w:hAnsiTheme="majorHAnsi"/>
          <w:sz w:val="24"/>
          <w:szCs w:val="24"/>
        </w:rPr>
        <w:t>1</w:t>
      </w:r>
      <w:r w:rsidR="00C103E8" w:rsidRPr="00AE07EF">
        <w:rPr>
          <w:rStyle w:val="Hyperlink"/>
          <w:rFonts w:asciiTheme="majorHAnsi" w:hAnsiTheme="majorHAnsi"/>
          <w:sz w:val="24"/>
          <w:szCs w:val="24"/>
        </w:rPr>
        <w:t xml:space="preserve"> Update</w:t>
      </w:r>
    </w:p>
    <w:p w14:paraId="75E893C9" w14:textId="283F7F99" w:rsidR="0071133F" w:rsidRPr="00AE07EF" w:rsidRDefault="00AE07EF" w:rsidP="00E06243">
      <w:pPr>
        <w:pStyle w:val="ListBullet"/>
        <w:numPr>
          <w:ilvl w:val="0"/>
          <w:numId w:val="18"/>
        </w:numPr>
        <w:spacing w:line="480" w:lineRule="auto"/>
        <w:rPr>
          <w:rStyle w:val="Hyperlink"/>
          <w:rFonts w:asciiTheme="majorHAnsi" w:hAnsiTheme="majorHAnsi"/>
          <w:sz w:val="24"/>
          <w:szCs w:val="24"/>
        </w:rPr>
      </w:pPr>
      <w:r>
        <w:rPr>
          <w:rFonts w:asciiTheme="majorHAnsi" w:hAnsiTheme="majorHAnsi"/>
          <w:color w:val="0000FF"/>
          <w:sz w:val="24"/>
          <w:szCs w:val="24"/>
          <w:u w:val="single"/>
        </w:rPr>
        <w:fldChar w:fldCharType="end"/>
      </w:r>
      <w:r w:rsidRPr="00AE07EF">
        <w:rPr>
          <w:rFonts w:asciiTheme="majorHAnsi" w:hAnsiTheme="majorHAnsi"/>
          <w:color w:val="0000FF"/>
          <w:sz w:val="24"/>
          <w:szCs w:val="24"/>
        </w:rPr>
        <w:fldChar w:fldCharType="begin"/>
      </w:r>
      <w:r w:rsidR="007074F4">
        <w:rPr>
          <w:rFonts w:asciiTheme="majorHAnsi" w:hAnsiTheme="majorHAnsi"/>
          <w:color w:val="0000FF"/>
          <w:sz w:val="24"/>
          <w:szCs w:val="24"/>
        </w:rPr>
        <w:instrText>HYPERLINK  \l "Story10"</w:instrText>
      </w:r>
      <w:r w:rsidR="007074F4" w:rsidRPr="00AE07EF">
        <w:rPr>
          <w:rFonts w:asciiTheme="majorHAnsi" w:hAnsiTheme="majorHAnsi"/>
          <w:color w:val="0000FF"/>
          <w:sz w:val="24"/>
          <w:szCs w:val="24"/>
        </w:rPr>
      </w:r>
      <w:r w:rsidRPr="00AE07EF">
        <w:rPr>
          <w:rFonts w:asciiTheme="majorHAnsi" w:hAnsiTheme="majorHAnsi"/>
          <w:color w:val="0000FF"/>
          <w:sz w:val="24"/>
          <w:szCs w:val="24"/>
        </w:rPr>
        <w:fldChar w:fldCharType="separate"/>
      </w:r>
      <w:r w:rsidR="0071133F" w:rsidRPr="00AE07EF">
        <w:rPr>
          <w:rStyle w:val="Hyperlink"/>
          <w:rFonts w:asciiTheme="majorHAnsi" w:hAnsiTheme="majorHAnsi"/>
          <w:sz w:val="24"/>
          <w:szCs w:val="24"/>
        </w:rPr>
        <w:t xml:space="preserve">KMPT Video </w:t>
      </w:r>
      <w:r w:rsidR="0071133F" w:rsidRPr="00AE07EF">
        <w:rPr>
          <w:rStyle w:val="Hyperlink"/>
          <w:rFonts w:asciiTheme="majorHAnsi" w:hAnsiTheme="majorHAnsi"/>
          <w:sz w:val="24"/>
          <w:szCs w:val="24"/>
        </w:rPr>
        <w:t>G</w:t>
      </w:r>
      <w:r w:rsidR="0071133F" w:rsidRPr="00AE07EF">
        <w:rPr>
          <w:rStyle w:val="Hyperlink"/>
          <w:rFonts w:asciiTheme="majorHAnsi" w:hAnsiTheme="majorHAnsi"/>
          <w:sz w:val="24"/>
          <w:szCs w:val="24"/>
        </w:rPr>
        <w:t>u</w:t>
      </w:r>
      <w:r w:rsidR="0071133F" w:rsidRPr="00AE07EF">
        <w:rPr>
          <w:rStyle w:val="Hyperlink"/>
          <w:rFonts w:asciiTheme="majorHAnsi" w:hAnsiTheme="majorHAnsi"/>
          <w:sz w:val="24"/>
          <w:szCs w:val="24"/>
        </w:rPr>
        <w:t>i</w:t>
      </w:r>
      <w:r w:rsidR="0071133F" w:rsidRPr="00AE07EF">
        <w:rPr>
          <w:rStyle w:val="Hyperlink"/>
          <w:rFonts w:asciiTheme="majorHAnsi" w:hAnsiTheme="majorHAnsi"/>
          <w:sz w:val="24"/>
          <w:szCs w:val="24"/>
        </w:rPr>
        <w:t>des</w:t>
      </w:r>
      <w:r w:rsidR="0071133F" w:rsidRPr="00AE07EF">
        <w:rPr>
          <w:rStyle w:val="Hyperlink"/>
          <w:rFonts w:asciiTheme="majorHAnsi" w:hAnsiTheme="majorHAnsi"/>
          <w:sz w:val="24"/>
          <w:szCs w:val="24"/>
        </w:rPr>
        <w:t xml:space="preserve"> </w:t>
      </w:r>
      <w:r w:rsidR="0071133F" w:rsidRPr="00AE07EF">
        <w:rPr>
          <w:rStyle w:val="Hyperlink"/>
          <w:rFonts w:asciiTheme="majorHAnsi" w:hAnsiTheme="majorHAnsi"/>
          <w:sz w:val="24"/>
          <w:szCs w:val="24"/>
        </w:rPr>
        <w:t>for Patients on Medicines In</w:t>
      </w:r>
      <w:r w:rsidR="0071133F" w:rsidRPr="00AE07EF">
        <w:rPr>
          <w:rStyle w:val="Hyperlink"/>
          <w:rFonts w:asciiTheme="majorHAnsi" w:hAnsiTheme="majorHAnsi"/>
          <w:sz w:val="24"/>
          <w:szCs w:val="24"/>
        </w:rPr>
        <w:t>f</w:t>
      </w:r>
      <w:r w:rsidR="0071133F" w:rsidRPr="00AE07EF">
        <w:rPr>
          <w:rStyle w:val="Hyperlink"/>
          <w:rFonts w:asciiTheme="majorHAnsi" w:hAnsiTheme="majorHAnsi"/>
          <w:sz w:val="24"/>
          <w:szCs w:val="24"/>
        </w:rPr>
        <w:t xml:space="preserve">ormation </w:t>
      </w:r>
    </w:p>
    <w:p w14:paraId="22976AE6" w14:textId="03235537" w:rsidR="00E06243" w:rsidRPr="002C6C63" w:rsidRDefault="00AE07EF">
      <w:pPr>
        <w:pStyle w:val="ListBullet"/>
        <w:numPr>
          <w:ilvl w:val="0"/>
          <w:numId w:val="18"/>
        </w:numPr>
        <w:spacing w:line="480" w:lineRule="auto"/>
        <w:rPr>
          <w:rStyle w:val="Hyperlink"/>
          <w:rFonts w:asciiTheme="majorHAnsi" w:hAnsiTheme="majorHAnsi"/>
          <w:sz w:val="24"/>
          <w:szCs w:val="24"/>
        </w:rPr>
      </w:pPr>
      <w:r w:rsidRPr="002C6C63">
        <w:rPr>
          <w:rFonts w:asciiTheme="majorHAnsi" w:hAnsiTheme="majorHAnsi"/>
          <w:color w:val="0000FF"/>
          <w:sz w:val="24"/>
          <w:szCs w:val="24"/>
        </w:rPr>
        <w:fldChar w:fldCharType="end"/>
      </w:r>
      <w:r w:rsidR="00E06243" w:rsidRPr="002C6C63">
        <w:rPr>
          <w:rFonts w:asciiTheme="majorHAnsi" w:eastAsia="Times New Roman" w:hAnsiTheme="majorHAnsi" w:cstheme="minorHAnsi"/>
          <w:color w:val="0000FF"/>
          <w:sz w:val="24"/>
          <w:szCs w:val="24"/>
        </w:rPr>
        <w:fldChar w:fldCharType="begin"/>
      </w:r>
      <w:r w:rsidR="007074F4">
        <w:rPr>
          <w:rFonts w:asciiTheme="majorHAnsi" w:eastAsia="Times New Roman" w:hAnsiTheme="majorHAnsi" w:cstheme="minorHAnsi"/>
          <w:color w:val="0000FF"/>
          <w:sz w:val="24"/>
          <w:szCs w:val="24"/>
        </w:rPr>
        <w:instrText>HYPERLINK  \l "MHRA"</w:instrText>
      </w:r>
      <w:r w:rsidR="007074F4" w:rsidRPr="002C6C63">
        <w:rPr>
          <w:rFonts w:asciiTheme="majorHAnsi" w:eastAsia="Times New Roman" w:hAnsiTheme="majorHAnsi" w:cstheme="minorHAnsi"/>
          <w:color w:val="0000FF"/>
          <w:sz w:val="24"/>
          <w:szCs w:val="24"/>
        </w:rPr>
      </w:r>
      <w:r w:rsidR="00E06243" w:rsidRPr="002C6C63">
        <w:rPr>
          <w:rFonts w:asciiTheme="majorHAnsi" w:eastAsia="Times New Roman" w:hAnsiTheme="majorHAnsi" w:cstheme="minorHAnsi"/>
          <w:color w:val="0000FF"/>
          <w:sz w:val="24"/>
          <w:szCs w:val="24"/>
        </w:rPr>
        <w:fldChar w:fldCharType="separate"/>
      </w:r>
      <w:r w:rsidR="00E06243" w:rsidRPr="002C6C63">
        <w:rPr>
          <w:rStyle w:val="Hyperlink"/>
          <w:rFonts w:asciiTheme="majorHAnsi" w:eastAsia="Times New Roman" w:hAnsiTheme="majorHAnsi" w:cstheme="minorHAnsi"/>
          <w:sz w:val="24"/>
          <w:szCs w:val="24"/>
        </w:rPr>
        <w:t>Medicines Optimisatio</w:t>
      </w:r>
      <w:r w:rsidR="00E06243" w:rsidRPr="002C6C63">
        <w:rPr>
          <w:rStyle w:val="Hyperlink"/>
          <w:rFonts w:asciiTheme="majorHAnsi" w:eastAsia="Times New Roman" w:hAnsiTheme="majorHAnsi" w:cstheme="minorHAnsi"/>
          <w:sz w:val="24"/>
          <w:szCs w:val="24"/>
        </w:rPr>
        <w:t>n</w:t>
      </w:r>
      <w:r w:rsidR="00E06243" w:rsidRPr="002C6C63">
        <w:rPr>
          <w:rStyle w:val="Hyperlink"/>
          <w:rFonts w:asciiTheme="majorHAnsi" w:eastAsia="Times New Roman" w:hAnsiTheme="majorHAnsi" w:cstheme="minorHAnsi"/>
          <w:sz w:val="24"/>
          <w:szCs w:val="24"/>
        </w:rPr>
        <w:t xml:space="preserve"> M</w:t>
      </w:r>
      <w:r w:rsidR="00E06243" w:rsidRPr="002C6C63">
        <w:rPr>
          <w:rStyle w:val="Hyperlink"/>
          <w:rFonts w:asciiTheme="majorHAnsi" w:eastAsia="Times New Roman" w:hAnsiTheme="majorHAnsi" w:cstheme="minorHAnsi"/>
          <w:sz w:val="24"/>
          <w:szCs w:val="24"/>
        </w:rPr>
        <w:t>H</w:t>
      </w:r>
      <w:r w:rsidR="00E06243" w:rsidRPr="002C6C63">
        <w:rPr>
          <w:rStyle w:val="Hyperlink"/>
          <w:rFonts w:asciiTheme="majorHAnsi" w:eastAsia="Times New Roman" w:hAnsiTheme="majorHAnsi" w:cstheme="minorHAnsi"/>
          <w:sz w:val="24"/>
          <w:szCs w:val="24"/>
        </w:rPr>
        <w:t xml:space="preserve">RA Drug Safety Update – </w:t>
      </w:r>
      <w:r w:rsidR="00C103E8" w:rsidRPr="002C6C63">
        <w:rPr>
          <w:rStyle w:val="Hyperlink"/>
          <w:rFonts w:asciiTheme="majorHAnsi" w:eastAsia="Times New Roman" w:hAnsiTheme="majorHAnsi" w:cstheme="minorHAnsi"/>
          <w:sz w:val="24"/>
          <w:szCs w:val="24"/>
        </w:rPr>
        <w:t>Jan and Feb 2023</w:t>
      </w:r>
    </w:p>
    <w:p w14:paraId="5B7DB39A" w14:textId="685B7302" w:rsidR="00AE07EF" w:rsidRPr="007074F4" w:rsidRDefault="00E06243">
      <w:pPr>
        <w:pStyle w:val="ListBullet"/>
        <w:numPr>
          <w:ilvl w:val="0"/>
          <w:numId w:val="18"/>
        </w:numPr>
        <w:spacing w:line="480" w:lineRule="auto"/>
        <w:rPr>
          <w:rStyle w:val="Hyperlink"/>
          <w:rFonts w:asciiTheme="majorHAnsi" w:hAnsiTheme="majorHAnsi"/>
          <w:sz w:val="24"/>
          <w:szCs w:val="24"/>
        </w:rPr>
      </w:pPr>
      <w:r w:rsidRPr="00AE07EF">
        <w:rPr>
          <w:rFonts w:asciiTheme="majorHAnsi" w:eastAsia="Times New Roman" w:hAnsiTheme="majorHAnsi" w:cstheme="minorHAnsi"/>
          <w:color w:val="0000FF"/>
          <w:sz w:val="24"/>
          <w:szCs w:val="24"/>
        </w:rPr>
        <w:fldChar w:fldCharType="end"/>
      </w:r>
      <w:r w:rsidR="007074F4">
        <w:rPr>
          <w:rFonts w:asciiTheme="majorHAnsi" w:hAnsiTheme="majorHAnsi" w:cstheme="minorHAnsi"/>
          <w:color w:val="0000FF"/>
          <w:sz w:val="24"/>
          <w:szCs w:val="24"/>
        </w:rPr>
        <w:fldChar w:fldCharType="begin"/>
      </w:r>
      <w:r w:rsidR="007074F4">
        <w:rPr>
          <w:rFonts w:asciiTheme="majorHAnsi" w:hAnsiTheme="majorHAnsi" w:cstheme="minorHAnsi"/>
          <w:color w:val="0000FF"/>
          <w:sz w:val="24"/>
          <w:szCs w:val="24"/>
        </w:rPr>
        <w:instrText xml:space="preserve"> HYPERLINK  \l "story11" </w:instrText>
      </w:r>
      <w:r w:rsidR="007074F4">
        <w:rPr>
          <w:rFonts w:asciiTheme="majorHAnsi" w:hAnsiTheme="majorHAnsi" w:cstheme="minorHAnsi"/>
          <w:color w:val="0000FF"/>
          <w:sz w:val="24"/>
          <w:szCs w:val="24"/>
        </w:rPr>
      </w:r>
      <w:r w:rsidR="007074F4">
        <w:rPr>
          <w:rFonts w:asciiTheme="majorHAnsi" w:hAnsiTheme="majorHAnsi" w:cstheme="minorHAnsi"/>
          <w:color w:val="0000FF"/>
          <w:sz w:val="24"/>
          <w:szCs w:val="24"/>
        </w:rPr>
        <w:fldChar w:fldCharType="separate"/>
      </w:r>
      <w:r w:rsidR="00AE07EF" w:rsidRPr="007074F4">
        <w:rPr>
          <w:rStyle w:val="Hyperlink"/>
          <w:rFonts w:asciiTheme="majorHAnsi" w:hAnsiTheme="majorHAnsi" w:cstheme="minorHAnsi"/>
          <w:sz w:val="24"/>
          <w:szCs w:val="24"/>
        </w:rPr>
        <w:t>MHRA Class 4 Defect Information- Ven</w:t>
      </w:r>
      <w:r w:rsidR="00AE07EF" w:rsidRPr="007074F4">
        <w:rPr>
          <w:rStyle w:val="Hyperlink"/>
          <w:rFonts w:asciiTheme="majorHAnsi" w:hAnsiTheme="majorHAnsi" w:cstheme="minorHAnsi"/>
          <w:sz w:val="24"/>
          <w:szCs w:val="24"/>
        </w:rPr>
        <w:t>l</w:t>
      </w:r>
      <w:r w:rsidR="00AE07EF" w:rsidRPr="007074F4">
        <w:rPr>
          <w:rStyle w:val="Hyperlink"/>
          <w:rFonts w:asciiTheme="majorHAnsi" w:hAnsiTheme="majorHAnsi" w:cstheme="minorHAnsi"/>
          <w:sz w:val="24"/>
          <w:szCs w:val="24"/>
        </w:rPr>
        <w:t>afaxine 150m</w:t>
      </w:r>
      <w:r w:rsidR="00AE07EF" w:rsidRPr="007074F4">
        <w:rPr>
          <w:rStyle w:val="Hyperlink"/>
          <w:rFonts w:asciiTheme="majorHAnsi" w:hAnsiTheme="majorHAnsi" w:cstheme="minorHAnsi"/>
          <w:sz w:val="24"/>
          <w:szCs w:val="24"/>
        </w:rPr>
        <w:t>g</w:t>
      </w:r>
      <w:r w:rsidR="00AE07EF" w:rsidRPr="007074F4">
        <w:rPr>
          <w:rStyle w:val="Hyperlink"/>
          <w:rFonts w:asciiTheme="majorHAnsi" w:hAnsiTheme="majorHAnsi" w:cstheme="minorHAnsi"/>
          <w:sz w:val="24"/>
          <w:szCs w:val="24"/>
        </w:rPr>
        <w:t xml:space="preserve">,225mg and 300mg </w:t>
      </w:r>
    </w:p>
    <w:p w14:paraId="2FD18FD8" w14:textId="1F4D3C52" w:rsidR="00FA37B4" w:rsidRPr="00AE07EF" w:rsidRDefault="007074F4">
      <w:pPr>
        <w:pStyle w:val="ListBullet"/>
        <w:numPr>
          <w:ilvl w:val="0"/>
          <w:numId w:val="18"/>
        </w:numPr>
        <w:spacing w:line="480" w:lineRule="auto"/>
        <w:rPr>
          <w:rStyle w:val="Hyperlink"/>
          <w:rFonts w:asciiTheme="majorHAnsi" w:hAnsiTheme="majorHAnsi"/>
          <w:sz w:val="24"/>
          <w:szCs w:val="24"/>
        </w:rPr>
      </w:pPr>
      <w:r>
        <w:rPr>
          <w:rFonts w:asciiTheme="majorHAnsi" w:hAnsiTheme="majorHAnsi" w:cstheme="minorHAnsi"/>
          <w:color w:val="0000FF"/>
          <w:sz w:val="24"/>
          <w:szCs w:val="24"/>
        </w:rPr>
        <w:fldChar w:fldCharType="end"/>
      </w:r>
      <w:r w:rsidR="00AE07EF">
        <w:rPr>
          <w:rFonts w:asciiTheme="majorHAnsi" w:hAnsiTheme="majorHAnsi" w:cstheme="minorHAnsi"/>
          <w:color w:val="0000FF"/>
          <w:sz w:val="24"/>
          <w:szCs w:val="24"/>
        </w:rPr>
        <w:fldChar w:fldCharType="begin"/>
      </w:r>
      <w:r>
        <w:rPr>
          <w:rFonts w:asciiTheme="majorHAnsi" w:hAnsiTheme="majorHAnsi" w:cstheme="minorHAnsi"/>
          <w:color w:val="0000FF"/>
          <w:sz w:val="24"/>
          <w:szCs w:val="24"/>
        </w:rPr>
        <w:instrText>HYPERLINK  \l "shortages"</w:instrText>
      </w:r>
      <w:r>
        <w:rPr>
          <w:rFonts w:asciiTheme="majorHAnsi" w:hAnsiTheme="majorHAnsi" w:cstheme="minorHAnsi"/>
          <w:color w:val="0000FF"/>
          <w:sz w:val="24"/>
          <w:szCs w:val="24"/>
        </w:rPr>
      </w:r>
      <w:r w:rsidR="00AE07EF">
        <w:rPr>
          <w:rFonts w:asciiTheme="majorHAnsi" w:hAnsiTheme="majorHAnsi" w:cstheme="minorHAnsi"/>
          <w:color w:val="0000FF"/>
          <w:sz w:val="24"/>
          <w:szCs w:val="24"/>
        </w:rPr>
        <w:fldChar w:fldCharType="separate"/>
      </w:r>
      <w:r w:rsidR="00FA37B4" w:rsidRPr="00AE07EF">
        <w:rPr>
          <w:rStyle w:val="Hyperlink"/>
          <w:rFonts w:asciiTheme="majorHAnsi" w:hAnsiTheme="majorHAnsi" w:cstheme="minorHAnsi"/>
          <w:sz w:val="24"/>
          <w:szCs w:val="24"/>
        </w:rPr>
        <w:t>Shortages Sum</w:t>
      </w:r>
      <w:r w:rsidR="00FA37B4" w:rsidRPr="00AE07EF">
        <w:rPr>
          <w:rStyle w:val="Hyperlink"/>
          <w:rFonts w:asciiTheme="majorHAnsi" w:hAnsiTheme="majorHAnsi" w:cstheme="minorHAnsi"/>
          <w:sz w:val="24"/>
          <w:szCs w:val="24"/>
        </w:rPr>
        <w:t>m</w:t>
      </w:r>
      <w:r w:rsidR="00FA37B4" w:rsidRPr="00AE07EF">
        <w:rPr>
          <w:rStyle w:val="Hyperlink"/>
          <w:rFonts w:asciiTheme="majorHAnsi" w:hAnsiTheme="majorHAnsi" w:cstheme="minorHAnsi"/>
          <w:sz w:val="24"/>
          <w:szCs w:val="24"/>
        </w:rPr>
        <w:t>a</w:t>
      </w:r>
      <w:r w:rsidR="00FA37B4" w:rsidRPr="00AE07EF">
        <w:rPr>
          <w:rStyle w:val="Hyperlink"/>
          <w:rFonts w:asciiTheme="majorHAnsi" w:hAnsiTheme="majorHAnsi" w:cstheme="minorHAnsi"/>
          <w:sz w:val="24"/>
          <w:szCs w:val="24"/>
        </w:rPr>
        <w:t>r</w:t>
      </w:r>
      <w:r w:rsidR="00FA37B4" w:rsidRPr="00AE07EF">
        <w:rPr>
          <w:rStyle w:val="Hyperlink"/>
          <w:rFonts w:asciiTheme="majorHAnsi" w:hAnsiTheme="majorHAnsi" w:cstheme="minorHAnsi"/>
          <w:sz w:val="24"/>
          <w:szCs w:val="24"/>
        </w:rPr>
        <w:t>y Mar</w:t>
      </w:r>
      <w:r w:rsidR="00FA37B4" w:rsidRPr="00AE07EF">
        <w:rPr>
          <w:rStyle w:val="Hyperlink"/>
          <w:rFonts w:asciiTheme="majorHAnsi" w:hAnsiTheme="majorHAnsi" w:cstheme="minorHAnsi"/>
          <w:sz w:val="24"/>
          <w:szCs w:val="24"/>
        </w:rPr>
        <w:t>c</w:t>
      </w:r>
      <w:r w:rsidR="00FA37B4" w:rsidRPr="00AE07EF">
        <w:rPr>
          <w:rStyle w:val="Hyperlink"/>
          <w:rFonts w:asciiTheme="majorHAnsi" w:hAnsiTheme="majorHAnsi" w:cstheme="minorHAnsi"/>
          <w:sz w:val="24"/>
          <w:szCs w:val="24"/>
        </w:rPr>
        <w:t>h</w:t>
      </w:r>
      <w:r w:rsidR="00FA37B4" w:rsidRPr="00AE07EF">
        <w:rPr>
          <w:rStyle w:val="Hyperlink"/>
          <w:rFonts w:asciiTheme="majorHAnsi" w:hAnsiTheme="majorHAnsi" w:cstheme="minorHAnsi"/>
          <w:sz w:val="24"/>
          <w:szCs w:val="24"/>
        </w:rPr>
        <w:t xml:space="preserve"> 2023 </w:t>
      </w:r>
    </w:p>
    <w:p w14:paraId="7A23D7A5" w14:textId="7042F228" w:rsidR="00C103E8" w:rsidRDefault="00AE07EF" w:rsidP="007074F4">
      <w:pPr>
        <w:pStyle w:val="ListBullet"/>
        <w:numPr>
          <w:ilvl w:val="0"/>
          <w:numId w:val="0"/>
        </w:numPr>
        <w:spacing w:line="480" w:lineRule="auto"/>
        <w:rPr>
          <w:rFonts w:asciiTheme="majorHAnsi" w:hAnsiTheme="majorHAnsi"/>
          <w:sz w:val="24"/>
          <w:szCs w:val="24"/>
        </w:rPr>
      </w:pPr>
      <w:r>
        <w:rPr>
          <w:rFonts w:asciiTheme="majorHAnsi" w:hAnsiTheme="majorHAnsi" w:cstheme="minorHAnsi"/>
          <w:color w:val="0000FF"/>
          <w:sz w:val="24"/>
          <w:szCs w:val="24"/>
        </w:rPr>
        <w:fldChar w:fldCharType="end"/>
      </w:r>
    </w:p>
    <w:p w14:paraId="7A475A0B" w14:textId="77777777" w:rsidR="00AE07EF" w:rsidRPr="00C103E8" w:rsidRDefault="00AE07EF" w:rsidP="00AE07EF">
      <w:pPr>
        <w:pStyle w:val="ListBullet"/>
        <w:numPr>
          <w:ilvl w:val="0"/>
          <w:numId w:val="0"/>
        </w:numPr>
        <w:spacing w:line="480" w:lineRule="auto"/>
        <w:ind w:left="360"/>
        <w:rPr>
          <w:rFonts w:asciiTheme="majorHAnsi" w:hAnsiTheme="majorHAnsi"/>
          <w:sz w:val="24"/>
          <w:szCs w:val="24"/>
        </w:rPr>
      </w:pPr>
    </w:p>
    <w:tbl>
      <w:tblPr>
        <w:tblW w:w="5000" w:type="pct"/>
        <w:tblCellMar>
          <w:left w:w="0" w:type="dxa"/>
          <w:right w:w="0" w:type="dxa"/>
        </w:tblCellMar>
        <w:tblLook w:val="04A0" w:firstRow="1" w:lastRow="0" w:firstColumn="1" w:lastColumn="0" w:noHBand="0" w:noVBand="1"/>
      </w:tblPr>
      <w:tblGrid>
        <w:gridCol w:w="9026"/>
      </w:tblGrid>
      <w:tr w:rsidR="00C349F2" w:rsidRPr="007B5E36" w14:paraId="1B227D1D" w14:textId="77777777" w:rsidTr="00385E13">
        <w:tc>
          <w:tcPr>
            <w:tcW w:w="0" w:type="auto"/>
            <w:tcBorders>
              <w:top w:val="single" w:sz="4" w:space="0" w:color="FFFFFF" w:themeColor="background1"/>
              <w:bottom w:val="single" w:sz="4" w:space="0" w:color="auto"/>
            </w:tcBorders>
            <w:tcMar>
              <w:top w:w="135" w:type="dxa"/>
              <w:left w:w="0" w:type="dxa"/>
              <w:bottom w:w="0" w:type="dxa"/>
              <w:right w:w="0" w:type="dxa"/>
            </w:tcMar>
            <w:hideMark/>
          </w:tcPr>
          <w:p w14:paraId="36AB09AE" w14:textId="664949AB" w:rsidR="004938D9" w:rsidRPr="00C103E8" w:rsidRDefault="00D50B90" w:rsidP="002866C4">
            <w:pPr>
              <w:spacing w:before="150" w:after="150" w:line="360" w:lineRule="auto"/>
              <w:rPr>
                <w:rFonts w:asciiTheme="majorHAnsi" w:eastAsia="Times New Roman" w:hAnsiTheme="majorHAnsi" w:cs="Helvetica"/>
                <w:b/>
                <w:bCs/>
                <w:color w:val="00A499"/>
                <w:sz w:val="32"/>
                <w:szCs w:val="32"/>
              </w:rPr>
            </w:pPr>
            <w:bookmarkStart w:id="0" w:name="Story1"/>
            <w:r w:rsidRPr="00C103E8">
              <w:rPr>
                <w:rFonts w:asciiTheme="majorHAnsi" w:eastAsia="Times New Roman" w:hAnsiTheme="majorHAnsi" w:cs="Helvetica"/>
                <w:b/>
                <w:bCs/>
                <w:color w:val="00A499"/>
                <w:sz w:val="32"/>
                <w:szCs w:val="32"/>
              </w:rPr>
              <w:lastRenderedPageBreak/>
              <w:t>La</w:t>
            </w:r>
            <w:r w:rsidR="0011778C" w:rsidRPr="00C103E8">
              <w:rPr>
                <w:rFonts w:asciiTheme="majorHAnsi" w:eastAsia="Times New Roman" w:hAnsiTheme="majorHAnsi" w:cs="Helvetica"/>
                <w:b/>
                <w:bCs/>
                <w:color w:val="00A499"/>
                <w:sz w:val="32"/>
                <w:szCs w:val="32"/>
              </w:rPr>
              <w:t xml:space="preserve">unch of the Kent and Medway ICB Medicines Optimisation webpage </w:t>
            </w:r>
          </w:p>
          <w:bookmarkEnd w:id="0"/>
          <w:p w14:paraId="0499654A" w14:textId="77777777" w:rsidR="0011778C" w:rsidRPr="00C103E8" w:rsidRDefault="0011778C" w:rsidP="0011778C">
            <w:pPr>
              <w:spacing w:after="160" w:line="252" w:lineRule="auto"/>
              <w:rPr>
                <w:rFonts w:asciiTheme="majorHAnsi" w:hAnsiTheme="majorHAnsi"/>
                <w:sz w:val="24"/>
                <w:szCs w:val="24"/>
              </w:rPr>
            </w:pPr>
            <w:r w:rsidRPr="00C103E8">
              <w:rPr>
                <w:rFonts w:asciiTheme="majorHAnsi" w:hAnsiTheme="majorHAnsi"/>
                <w:sz w:val="24"/>
                <w:szCs w:val="24"/>
              </w:rPr>
              <w:t xml:space="preserve">NHS Kent and Medway ICB Medicines Optimisation Team are pleased to announce the launch of our webpage which can be found at </w:t>
            </w:r>
            <w:hyperlink r:id="rId12" w:history="1">
              <w:r w:rsidRPr="00C103E8">
                <w:rPr>
                  <w:rStyle w:val="Hyperlink"/>
                  <w:rFonts w:asciiTheme="majorHAnsi" w:hAnsiTheme="majorHAnsi"/>
                  <w:sz w:val="24"/>
                  <w:szCs w:val="24"/>
                </w:rPr>
                <w:t>Medicines Optimisation :: NHS Kent and Medway (icb.nhs.uk)</w:t>
              </w:r>
            </w:hyperlink>
          </w:p>
          <w:p w14:paraId="0BCF75AB" w14:textId="77777777" w:rsidR="0011778C" w:rsidRPr="00C103E8" w:rsidRDefault="0011778C" w:rsidP="0011778C">
            <w:pPr>
              <w:spacing w:after="160" w:line="252" w:lineRule="auto"/>
              <w:rPr>
                <w:rFonts w:asciiTheme="majorHAnsi" w:hAnsiTheme="majorHAnsi"/>
                <w:sz w:val="24"/>
                <w:szCs w:val="24"/>
              </w:rPr>
            </w:pPr>
            <w:r w:rsidRPr="00C103E8">
              <w:rPr>
                <w:rFonts w:asciiTheme="majorHAnsi" w:hAnsiTheme="majorHAnsi"/>
                <w:sz w:val="24"/>
                <w:szCs w:val="24"/>
              </w:rPr>
              <w:t xml:space="preserve">This webpage will be the home for all information and resources relating to Medicines Optimisation including: </w:t>
            </w:r>
          </w:p>
          <w:p w14:paraId="30E1D3EC" w14:textId="77777777" w:rsidR="0011778C" w:rsidRPr="00C103E8" w:rsidRDefault="0011778C" w:rsidP="002F6C1E">
            <w:pPr>
              <w:numPr>
                <w:ilvl w:val="0"/>
                <w:numId w:val="23"/>
              </w:numPr>
              <w:spacing w:after="160" w:line="252" w:lineRule="auto"/>
              <w:rPr>
                <w:rFonts w:asciiTheme="majorHAnsi" w:eastAsia="Times New Roman" w:hAnsiTheme="majorHAnsi"/>
                <w:sz w:val="24"/>
                <w:szCs w:val="24"/>
              </w:rPr>
            </w:pPr>
            <w:r w:rsidRPr="00C103E8">
              <w:rPr>
                <w:rFonts w:asciiTheme="majorHAnsi" w:eastAsia="Times New Roman" w:hAnsiTheme="majorHAnsi"/>
                <w:sz w:val="24"/>
                <w:szCs w:val="24"/>
              </w:rPr>
              <w:t>Information about the Medicines Optimisation Team</w:t>
            </w:r>
          </w:p>
          <w:p w14:paraId="628BE46B" w14:textId="77777777" w:rsidR="0011778C" w:rsidRPr="00C103E8" w:rsidRDefault="0011778C" w:rsidP="002F6C1E">
            <w:pPr>
              <w:numPr>
                <w:ilvl w:val="0"/>
                <w:numId w:val="23"/>
              </w:numPr>
              <w:spacing w:after="160" w:line="252" w:lineRule="auto"/>
              <w:rPr>
                <w:rFonts w:asciiTheme="majorHAnsi" w:eastAsia="Times New Roman" w:hAnsiTheme="majorHAnsi"/>
                <w:sz w:val="24"/>
                <w:szCs w:val="24"/>
              </w:rPr>
            </w:pPr>
            <w:r w:rsidRPr="00C103E8">
              <w:rPr>
                <w:rFonts w:asciiTheme="majorHAnsi" w:eastAsia="Times New Roman" w:hAnsiTheme="majorHAnsi"/>
                <w:sz w:val="24"/>
                <w:szCs w:val="24"/>
              </w:rPr>
              <w:t>Medicines Governance Processes/Structures</w:t>
            </w:r>
          </w:p>
          <w:p w14:paraId="2BC6B4FD" w14:textId="77777777" w:rsidR="0011778C" w:rsidRPr="00C103E8" w:rsidRDefault="0011778C" w:rsidP="002F6C1E">
            <w:pPr>
              <w:numPr>
                <w:ilvl w:val="0"/>
                <w:numId w:val="23"/>
              </w:numPr>
              <w:spacing w:after="160" w:line="252" w:lineRule="auto"/>
              <w:rPr>
                <w:rFonts w:asciiTheme="majorHAnsi" w:eastAsia="Times New Roman" w:hAnsiTheme="majorHAnsi"/>
                <w:sz w:val="24"/>
                <w:szCs w:val="24"/>
              </w:rPr>
            </w:pPr>
            <w:r w:rsidRPr="00C103E8">
              <w:rPr>
                <w:rFonts w:asciiTheme="majorHAnsi" w:eastAsia="Times New Roman" w:hAnsiTheme="majorHAnsi"/>
                <w:sz w:val="24"/>
                <w:szCs w:val="24"/>
              </w:rPr>
              <w:t>Integrated Medicines Optimisation Committee (IMOC) – terms of reference, minutes of the latest meetings</w:t>
            </w:r>
          </w:p>
          <w:p w14:paraId="011A18C5" w14:textId="54EF8013" w:rsidR="0011778C" w:rsidRPr="00C103E8" w:rsidRDefault="0011778C" w:rsidP="002F6C1E">
            <w:pPr>
              <w:numPr>
                <w:ilvl w:val="0"/>
                <w:numId w:val="23"/>
              </w:numPr>
              <w:spacing w:after="160" w:line="252" w:lineRule="auto"/>
              <w:rPr>
                <w:rFonts w:asciiTheme="majorHAnsi" w:eastAsia="Times New Roman" w:hAnsiTheme="majorHAnsi"/>
                <w:sz w:val="24"/>
                <w:szCs w:val="24"/>
              </w:rPr>
            </w:pPr>
            <w:r w:rsidRPr="00C103E8">
              <w:rPr>
                <w:rFonts w:asciiTheme="majorHAnsi" w:eastAsia="Times New Roman" w:hAnsiTheme="majorHAnsi"/>
                <w:sz w:val="24"/>
                <w:szCs w:val="24"/>
              </w:rPr>
              <w:t>Access to formularies – currently hosts direct links to each of the four health and care partnership formularies</w:t>
            </w:r>
            <w:r w:rsidR="002F6C1E">
              <w:rPr>
                <w:rFonts w:asciiTheme="majorHAnsi" w:eastAsia="Times New Roman" w:hAnsiTheme="majorHAnsi"/>
                <w:sz w:val="24"/>
                <w:szCs w:val="24"/>
              </w:rPr>
              <w:t>.</w:t>
            </w:r>
          </w:p>
          <w:p w14:paraId="6134DC49" w14:textId="03112CFA" w:rsidR="0011778C" w:rsidRPr="00C103E8" w:rsidRDefault="0011778C" w:rsidP="002F6C1E">
            <w:pPr>
              <w:numPr>
                <w:ilvl w:val="0"/>
                <w:numId w:val="23"/>
              </w:numPr>
              <w:spacing w:after="160" w:line="252" w:lineRule="auto"/>
              <w:rPr>
                <w:rFonts w:asciiTheme="majorHAnsi" w:eastAsia="Times New Roman" w:hAnsiTheme="majorHAnsi"/>
                <w:sz w:val="24"/>
                <w:szCs w:val="24"/>
              </w:rPr>
            </w:pPr>
            <w:r w:rsidRPr="00C103E8">
              <w:rPr>
                <w:rFonts w:asciiTheme="majorHAnsi" w:eastAsia="Times New Roman" w:hAnsiTheme="majorHAnsi"/>
                <w:sz w:val="24"/>
                <w:szCs w:val="24"/>
              </w:rPr>
              <w:t>Any other national/regional/local system updates/resources relating to medicines optimisation</w:t>
            </w:r>
            <w:r w:rsidR="002F6C1E">
              <w:rPr>
                <w:rFonts w:asciiTheme="majorHAnsi" w:eastAsia="Times New Roman" w:hAnsiTheme="majorHAnsi"/>
                <w:sz w:val="24"/>
                <w:szCs w:val="24"/>
              </w:rPr>
              <w:t>.</w:t>
            </w:r>
          </w:p>
          <w:p w14:paraId="1C54493A" w14:textId="6F214DC9" w:rsidR="00C77BE4" w:rsidRPr="00C103E8" w:rsidRDefault="0011778C" w:rsidP="002F6C1E">
            <w:pPr>
              <w:spacing w:after="160" w:line="252" w:lineRule="auto"/>
              <w:rPr>
                <w:rFonts w:asciiTheme="majorHAnsi" w:hAnsiTheme="majorHAnsi"/>
                <w:sz w:val="24"/>
                <w:szCs w:val="24"/>
              </w:rPr>
            </w:pPr>
            <w:r w:rsidRPr="00C103E8">
              <w:rPr>
                <w:rFonts w:asciiTheme="majorHAnsi" w:hAnsiTheme="majorHAnsi"/>
                <w:sz w:val="24"/>
                <w:szCs w:val="24"/>
              </w:rPr>
              <w:t>We will continue to update the page regularly, so please be sure to click on the link above and add us to your favourites.</w:t>
            </w:r>
          </w:p>
          <w:tbl>
            <w:tblPr>
              <w:tblpPr w:vertAnchor="text"/>
              <w:tblW w:w="5000" w:type="pct"/>
              <w:tblCellMar>
                <w:left w:w="0" w:type="dxa"/>
                <w:right w:w="0" w:type="dxa"/>
              </w:tblCellMar>
              <w:tblLook w:val="04A0" w:firstRow="1" w:lastRow="0" w:firstColumn="1" w:lastColumn="0" w:noHBand="0" w:noVBand="1"/>
            </w:tblPr>
            <w:tblGrid>
              <w:gridCol w:w="9026"/>
            </w:tblGrid>
            <w:tr w:rsidR="000C3D21" w:rsidRPr="00C103E8" w14:paraId="4EE5C248" w14:textId="77777777" w:rsidTr="00385E13">
              <w:tc>
                <w:tcPr>
                  <w:tcW w:w="9026" w:type="dxa"/>
                  <w:tcBorders>
                    <w:top w:val="single" w:sz="4" w:space="0" w:color="auto"/>
                    <w:bottom w:val="single" w:sz="4" w:space="0" w:color="FFFFFF" w:themeColor="background1"/>
                  </w:tcBorders>
                </w:tcPr>
                <w:p w14:paraId="5CA8B2F1" w14:textId="77777777" w:rsidR="000C3D21" w:rsidRPr="00C103E8" w:rsidRDefault="000C3D21" w:rsidP="00FA37B4">
                  <w:pPr>
                    <w:spacing w:line="360" w:lineRule="auto"/>
                    <w:rPr>
                      <w:rFonts w:asciiTheme="majorHAnsi" w:hAnsiTheme="majorHAnsi" w:cs="Helvetica"/>
                      <w:b/>
                      <w:bCs/>
                      <w:color w:val="00A499"/>
                      <w:sz w:val="32"/>
                      <w:szCs w:val="32"/>
                    </w:rPr>
                  </w:pPr>
                </w:p>
              </w:tc>
            </w:tr>
            <w:tr w:rsidR="00C349F2" w:rsidRPr="00C103E8" w14:paraId="51C8C595" w14:textId="77777777" w:rsidTr="00385E13">
              <w:tc>
                <w:tcPr>
                  <w:tcW w:w="9026" w:type="dxa"/>
                  <w:tcBorders>
                    <w:top w:val="single" w:sz="4" w:space="0" w:color="auto"/>
                    <w:bottom w:val="single" w:sz="4" w:space="0" w:color="FFFFFF" w:themeColor="background1"/>
                  </w:tcBorders>
                  <w:hideMark/>
                </w:tcPr>
                <w:p w14:paraId="041BFEC9" w14:textId="77777777" w:rsidR="002C6C63" w:rsidRPr="00C103E8" w:rsidRDefault="002C6C63" w:rsidP="002C6C63">
                  <w:pPr>
                    <w:spacing w:before="150" w:after="150" w:line="276" w:lineRule="auto"/>
                    <w:rPr>
                      <w:rFonts w:asciiTheme="majorHAnsi" w:hAnsiTheme="majorHAnsi"/>
                      <w:b/>
                      <w:bCs/>
                      <w:color w:val="00A499"/>
                      <w:sz w:val="32"/>
                      <w:szCs w:val="32"/>
                    </w:rPr>
                  </w:pPr>
                  <w:bookmarkStart w:id="1" w:name="Story2"/>
                  <w:r w:rsidRPr="00C103E8">
                    <w:rPr>
                      <w:rFonts w:asciiTheme="majorHAnsi" w:hAnsiTheme="majorHAnsi" w:cs="Helvetica"/>
                      <w:b/>
                      <w:bCs/>
                      <w:color w:val="00A499"/>
                      <w:sz w:val="32"/>
                      <w:szCs w:val="32"/>
                    </w:rPr>
                    <w:t xml:space="preserve">Dexcom ONE Transmitters on EMIS formulary </w:t>
                  </w:r>
                </w:p>
                <w:bookmarkEnd w:id="1"/>
                <w:p w14:paraId="410A0EE8" w14:textId="22A67CAD" w:rsidR="002C6C63" w:rsidRDefault="002C6C63" w:rsidP="002C6C63">
                  <w:pPr>
                    <w:spacing w:line="360" w:lineRule="auto"/>
                    <w:rPr>
                      <w:rFonts w:asciiTheme="majorHAnsi" w:hAnsiTheme="majorHAnsi"/>
                      <w:sz w:val="24"/>
                      <w:szCs w:val="24"/>
                    </w:rPr>
                  </w:pPr>
                  <w:r w:rsidRPr="00C103E8">
                    <w:rPr>
                      <w:rFonts w:asciiTheme="majorHAnsi" w:hAnsiTheme="majorHAnsi"/>
                      <w:sz w:val="24"/>
                      <w:szCs w:val="24"/>
                    </w:rPr>
                    <w:t xml:space="preserve">Dexcom ONE transmitters are not currently on EMIS. The dictionary is being updated and these transmitters should be available on there soon. Each transmitter lasts 3 months and a patient should already have had one upon initiation. If a patient requires a transmitter before the Dexcom ONE transmitter on EMIS please ask the patient to contact </w:t>
                  </w:r>
                  <w:hyperlink r:id="rId13" w:history="1">
                    <w:r w:rsidRPr="00C103E8">
                      <w:rPr>
                        <w:rStyle w:val="Hyperlink"/>
                        <w:rFonts w:asciiTheme="majorHAnsi" w:hAnsiTheme="majorHAnsi"/>
                        <w:sz w:val="24"/>
                        <w:szCs w:val="24"/>
                      </w:rPr>
                      <w:t>pharmacyuk@dexcom.com</w:t>
                    </w:r>
                  </w:hyperlink>
                  <w:r w:rsidRPr="00C103E8">
                    <w:rPr>
                      <w:rFonts w:asciiTheme="majorHAnsi" w:hAnsiTheme="majorHAnsi"/>
                      <w:sz w:val="24"/>
                      <w:szCs w:val="24"/>
                    </w:rPr>
                    <w:t xml:space="preserve">. Please note this should only be used for patients nearing the end of the transmitter </w:t>
                  </w:r>
                  <w:r w:rsidR="006A06A2" w:rsidRPr="00C103E8">
                    <w:rPr>
                      <w:rFonts w:asciiTheme="majorHAnsi" w:hAnsiTheme="majorHAnsi"/>
                      <w:sz w:val="24"/>
                      <w:szCs w:val="24"/>
                    </w:rPr>
                    <w:t>3-month</w:t>
                  </w:r>
                  <w:r w:rsidRPr="00C103E8">
                    <w:rPr>
                      <w:rFonts w:asciiTheme="majorHAnsi" w:hAnsiTheme="majorHAnsi"/>
                      <w:sz w:val="24"/>
                      <w:szCs w:val="24"/>
                    </w:rPr>
                    <w:t xml:space="preserve"> </w:t>
                  </w:r>
                  <w:proofErr w:type="gramStart"/>
                  <w:r w:rsidRPr="00C103E8">
                    <w:rPr>
                      <w:rFonts w:asciiTheme="majorHAnsi" w:hAnsiTheme="majorHAnsi"/>
                      <w:sz w:val="24"/>
                      <w:szCs w:val="24"/>
                    </w:rPr>
                    <w:t>life-cycle</w:t>
                  </w:r>
                  <w:proofErr w:type="gramEnd"/>
                  <w:r w:rsidRPr="00C103E8">
                    <w:rPr>
                      <w:rFonts w:asciiTheme="majorHAnsi" w:hAnsiTheme="majorHAnsi"/>
                      <w:sz w:val="24"/>
                      <w:szCs w:val="24"/>
                    </w:rPr>
                    <w:t>.</w:t>
                  </w:r>
                </w:p>
                <w:p w14:paraId="6DC16AC5" w14:textId="158359CF" w:rsidR="000C3D21" w:rsidRDefault="002C6C63" w:rsidP="00FA37B4">
                  <w:pPr>
                    <w:spacing w:line="360" w:lineRule="auto"/>
                    <w:rPr>
                      <w:rFonts w:asciiTheme="majorHAnsi" w:hAnsiTheme="majorHAnsi"/>
                      <w:sz w:val="24"/>
                      <w:szCs w:val="24"/>
                    </w:rPr>
                  </w:pPr>
                  <w:r w:rsidRPr="00C103E8">
                    <w:rPr>
                      <w:rFonts w:asciiTheme="majorHAnsi" w:hAnsiTheme="majorHAnsi"/>
                      <w:sz w:val="24"/>
                      <w:szCs w:val="24"/>
                    </w:rPr>
                    <w:t xml:space="preserve">Once these are available in EMIS please see information that was circulated </w:t>
                  </w:r>
                  <w:hyperlink r:id="rId14" w:history="1">
                    <w:r w:rsidRPr="00C103E8">
                      <w:rPr>
                        <w:rStyle w:val="Hyperlink"/>
                        <w:rFonts w:asciiTheme="majorHAnsi" w:hAnsiTheme="majorHAnsi"/>
                        <w:sz w:val="24"/>
                        <w:szCs w:val="24"/>
                      </w:rPr>
                      <w:t>here</w:t>
                    </w:r>
                  </w:hyperlink>
                  <w:r>
                    <w:rPr>
                      <w:rFonts w:asciiTheme="majorHAnsi" w:hAnsiTheme="majorHAnsi"/>
                      <w:sz w:val="24"/>
                      <w:szCs w:val="24"/>
                    </w:rPr>
                    <w:t>.</w:t>
                  </w:r>
                </w:p>
                <w:p w14:paraId="6B190B80" w14:textId="77777777" w:rsidR="006A06A2" w:rsidRDefault="006A06A2" w:rsidP="00FA37B4">
                  <w:pPr>
                    <w:spacing w:line="360" w:lineRule="auto"/>
                    <w:rPr>
                      <w:rFonts w:asciiTheme="majorHAnsi" w:hAnsiTheme="majorHAnsi"/>
                      <w:sz w:val="24"/>
                      <w:szCs w:val="24"/>
                    </w:rPr>
                  </w:pPr>
                </w:p>
                <w:p w14:paraId="3B074D34" w14:textId="77777777" w:rsidR="002C6C63" w:rsidRPr="002C6C63" w:rsidRDefault="002C6C63" w:rsidP="00FA37B4">
                  <w:pPr>
                    <w:spacing w:line="360" w:lineRule="auto"/>
                    <w:rPr>
                      <w:rFonts w:asciiTheme="majorHAnsi" w:hAnsiTheme="majorHAnsi"/>
                      <w:sz w:val="24"/>
                      <w:szCs w:val="24"/>
                    </w:rPr>
                  </w:pPr>
                </w:p>
                <w:p w14:paraId="05FE7D1C" w14:textId="51980168" w:rsidR="00E062C3" w:rsidRPr="00C103E8" w:rsidRDefault="00D50B90" w:rsidP="000C3D21">
                  <w:pPr>
                    <w:spacing w:line="360" w:lineRule="auto"/>
                    <w:rPr>
                      <w:rFonts w:asciiTheme="majorHAnsi" w:hAnsiTheme="majorHAnsi" w:cs="Helvetica"/>
                      <w:b/>
                      <w:bCs/>
                      <w:color w:val="00A499"/>
                      <w:sz w:val="32"/>
                      <w:szCs w:val="32"/>
                    </w:rPr>
                  </w:pPr>
                  <w:bookmarkStart w:id="2" w:name="Story3"/>
                  <w:r w:rsidRPr="00C103E8">
                    <w:rPr>
                      <w:rFonts w:asciiTheme="majorHAnsi" w:hAnsiTheme="majorHAnsi" w:cs="Helvetica"/>
                      <w:b/>
                      <w:bCs/>
                      <w:color w:val="00A499"/>
                      <w:sz w:val="32"/>
                      <w:szCs w:val="32"/>
                    </w:rPr>
                    <w:lastRenderedPageBreak/>
                    <w:t>Group A Strep (GAS) guidance update and impact on MOS sore throat audit.</w:t>
                  </w:r>
                </w:p>
                <w:bookmarkEnd w:id="2"/>
                <w:p w14:paraId="121846B8" w14:textId="648DF957" w:rsidR="00D50B90" w:rsidRPr="00C103E8" w:rsidRDefault="00D50B90" w:rsidP="00E062C3">
                  <w:pPr>
                    <w:spacing w:line="360" w:lineRule="auto"/>
                    <w:rPr>
                      <w:rFonts w:asciiTheme="majorHAnsi" w:hAnsiTheme="majorHAnsi" w:cs="Arial"/>
                      <w:sz w:val="24"/>
                      <w:szCs w:val="24"/>
                    </w:rPr>
                  </w:pPr>
                  <w:r w:rsidRPr="00C103E8">
                    <w:rPr>
                      <w:rFonts w:asciiTheme="majorHAnsi" w:hAnsiTheme="majorHAnsi" w:cs="Arial"/>
                      <w:sz w:val="24"/>
                      <w:szCs w:val="24"/>
                    </w:rPr>
                    <w:t>On 15 February, the </w:t>
                  </w:r>
                  <w:hyperlink r:id="rId15" w:tgtFrame="_blank" w:tooltip="https://gbr01.safelinks.protection.outlook.com/?url=https%3a%2f%2fprimarycarebulletin.cmail19.com%2ft%2fd-l-zdjtuit-jutjpwut-r%2f&amp;data=05%7c01%7cclaire.manning1%40nhs.net%7cad0d64cbffad4840cd8308db1673a24a%7c37c354b285b047f5b22207b48d774ee3%7c0%7c0%7c6381" w:history="1">
                    <w:r w:rsidRPr="00C103E8">
                      <w:rPr>
                        <w:rStyle w:val="Hyperlink"/>
                        <w:rFonts w:asciiTheme="majorHAnsi" w:hAnsiTheme="majorHAnsi" w:cs="Arial"/>
                        <w:sz w:val="24"/>
                        <w:szCs w:val="24"/>
                      </w:rPr>
                      <w:t>Group A Streptococcus (GAS) interim clinical guidance</w:t>
                    </w:r>
                  </w:hyperlink>
                  <w:r w:rsidRPr="00C103E8">
                    <w:rPr>
                      <w:rFonts w:asciiTheme="majorHAnsi" w:hAnsiTheme="majorHAnsi" w:cs="Arial"/>
                      <w:sz w:val="24"/>
                      <w:szCs w:val="24"/>
                    </w:rPr>
                    <w:t>, released on 9 December 2022, was retired. In light of the decrease from exceptionally high rates of infections, the decision to reinstate the </w:t>
                  </w:r>
                  <w:hyperlink r:id="rId16" w:tgtFrame="_blank" w:tooltip="https://gbr01.safelinks.protection.outlook.com/?url=https%3a%2f%2fprimarycarebulletin.cmail19.com%2ft%2fd-l-zdjtuit-jutjpwut-y%2f&amp;data=05%7c01%7cclaire.manning1%40nhs.net%7cad0d64cbffad4840cd8308db1673a24a%7c37c354b285b047f5b22207b48d774ee3%7c0%7c0%7c6381" w:history="1">
                    <w:r w:rsidRPr="00C103E8">
                      <w:rPr>
                        <w:rStyle w:val="Hyperlink"/>
                        <w:rFonts w:asciiTheme="majorHAnsi" w:hAnsiTheme="majorHAnsi" w:cs="Arial"/>
                        <w:sz w:val="24"/>
                        <w:szCs w:val="24"/>
                      </w:rPr>
                      <w:t>NICE Sore Throat (Acute) NG84 guidelines</w:t>
                    </w:r>
                  </w:hyperlink>
                  <w:r w:rsidRPr="00C103E8">
                    <w:rPr>
                      <w:rFonts w:asciiTheme="majorHAnsi" w:hAnsiTheme="majorHAnsi" w:cs="Arial"/>
                      <w:sz w:val="24"/>
                      <w:szCs w:val="24"/>
                    </w:rPr>
                    <w:t xml:space="preserve"> for all age groups for management of sore throat was taken following a review by the NHS England Clinical Advisory Group, professional bodies and UKHSA Group A Strep Incident Management team.</w:t>
                  </w:r>
                </w:p>
                <w:p w14:paraId="485DB30C" w14:textId="77777777" w:rsidR="00D50B90" w:rsidRPr="00C103E8" w:rsidRDefault="00D50B90" w:rsidP="00E062C3">
                  <w:pPr>
                    <w:spacing w:line="360" w:lineRule="auto"/>
                    <w:rPr>
                      <w:rFonts w:asciiTheme="majorHAnsi" w:hAnsiTheme="majorHAnsi" w:cs="Arial"/>
                      <w:sz w:val="24"/>
                      <w:szCs w:val="24"/>
                    </w:rPr>
                  </w:pPr>
                  <w:r w:rsidRPr="00C103E8">
                    <w:rPr>
                      <w:rFonts w:asciiTheme="majorHAnsi" w:hAnsiTheme="majorHAnsi" w:cs="Arial"/>
                      <w:sz w:val="24"/>
                      <w:szCs w:val="24"/>
                    </w:rPr>
                    <w:t> </w:t>
                  </w:r>
                </w:p>
                <w:p w14:paraId="4DAAA1A9" w14:textId="16771822" w:rsidR="00D50B90" w:rsidRPr="00C103E8" w:rsidRDefault="00D50B90" w:rsidP="00E062C3">
                  <w:pPr>
                    <w:spacing w:line="360" w:lineRule="auto"/>
                    <w:rPr>
                      <w:rFonts w:asciiTheme="majorHAnsi" w:hAnsiTheme="majorHAnsi" w:cs="Arial"/>
                      <w:sz w:val="24"/>
                      <w:szCs w:val="24"/>
                    </w:rPr>
                  </w:pPr>
                  <w:r w:rsidRPr="00C103E8">
                    <w:rPr>
                      <w:rFonts w:asciiTheme="majorHAnsi" w:hAnsiTheme="majorHAnsi" w:cs="Arial"/>
                      <w:sz w:val="24"/>
                      <w:szCs w:val="24"/>
                    </w:rPr>
                    <w:t>The situation will continue to be monitored and clinicians are advised to be alert to the severe complications of GAS when assessing patients, particularly those with preceding viral infection (including chickenpox) or close contacts of scarlet fever/</w:t>
                  </w:r>
                  <w:proofErr w:type="spellStart"/>
                  <w:r w:rsidRPr="00C103E8">
                    <w:rPr>
                      <w:rFonts w:asciiTheme="majorHAnsi" w:hAnsiTheme="majorHAnsi" w:cs="Arial"/>
                      <w:sz w:val="24"/>
                      <w:szCs w:val="24"/>
                    </w:rPr>
                    <w:t>iGAS</w:t>
                  </w:r>
                  <w:proofErr w:type="spellEnd"/>
                  <w:r w:rsidRPr="00C103E8">
                    <w:rPr>
                      <w:rFonts w:asciiTheme="majorHAnsi" w:hAnsiTheme="majorHAnsi" w:cs="Arial"/>
                      <w:sz w:val="24"/>
                      <w:szCs w:val="24"/>
                    </w:rPr>
                    <w:t>.</w:t>
                  </w:r>
                </w:p>
                <w:p w14:paraId="514732D1" w14:textId="77777777" w:rsidR="000C3D21" w:rsidRDefault="00D50B90" w:rsidP="00E062C3">
                  <w:pPr>
                    <w:spacing w:line="360" w:lineRule="auto"/>
                    <w:rPr>
                      <w:rFonts w:asciiTheme="majorHAnsi" w:hAnsiTheme="majorHAnsi" w:cs="Arial"/>
                      <w:sz w:val="24"/>
                      <w:szCs w:val="24"/>
                    </w:rPr>
                  </w:pPr>
                  <w:r w:rsidRPr="00C103E8">
                    <w:rPr>
                      <w:rFonts w:asciiTheme="majorHAnsi" w:hAnsiTheme="majorHAnsi" w:cs="Arial"/>
                      <w:sz w:val="24"/>
                      <w:szCs w:val="24"/>
                    </w:rPr>
                    <w:t xml:space="preserve"> The sore throat audit for this year’s MOS can therefore continue as planned. It is recommended that practices do not include consultations for patients presenting during December 2022 to February 2023 in their audit samples as these are unlikely to be representative of usual practice. </w:t>
                  </w:r>
                </w:p>
                <w:p w14:paraId="34667DC1" w14:textId="291622F1" w:rsidR="00D50B90" w:rsidRPr="00C103E8" w:rsidRDefault="00D50B90" w:rsidP="00E062C3">
                  <w:pPr>
                    <w:spacing w:line="360" w:lineRule="auto"/>
                    <w:rPr>
                      <w:rFonts w:asciiTheme="majorHAnsi" w:hAnsiTheme="majorHAnsi" w:cs="Arial"/>
                      <w:sz w:val="24"/>
                      <w:szCs w:val="24"/>
                    </w:rPr>
                  </w:pPr>
                  <w:r w:rsidRPr="00C103E8">
                    <w:rPr>
                      <w:rFonts w:asciiTheme="majorHAnsi" w:hAnsiTheme="majorHAnsi" w:cs="Arial"/>
                      <w:sz w:val="24"/>
                      <w:szCs w:val="24"/>
                    </w:rPr>
                    <w:t>If you have any queries relating to this, please contact the Medicine Optimisation Team</w:t>
                  </w:r>
                  <w:r w:rsidR="000C3D21">
                    <w:rPr>
                      <w:rFonts w:asciiTheme="majorHAnsi" w:hAnsiTheme="majorHAnsi" w:cs="Arial"/>
                      <w:sz w:val="24"/>
                      <w:szCs w:val="24"/>
                    </w:rPr>
                    <w:t>.</w:t>
                  </w:r>
                </w:p>
                <w:p w14:paraId="5EA25454" w14:textId="16844C49" w:rsidR="00E062C3" w:rsidRPr="00C103E8" w:rsidRDefault="0071133F" w:rsidP="00D90317">
                  <w:pPr>
                    <w:spacing w:before="150" w:after="150" w:line="276" w:lineRule="auto"/>
                    <w:rPr>
                      <w:rFonts w:asciiTheme="majorHAnsi" w:hAnsiTheme="majorHAnsi" w:cs="Helvetica"/>
                      <w:b/>
                      <w:bCs/>
                      <w:color w:val="00A499"/>
                      <w:sz w:val="24"/>
                      <w:szCs w:val="24"/>
                    </w:rPr>
                  </w:pPr>
                  <w:r w:rsidRPr="00C103E8">
                    <w:rPr>
                      <w:rFonts w:asciiTheme="majorHAnsi" w:hAnsiTheme="majorHAnsi" w:cs="Helvetica"/>
                      <w:b/>
                      <w:bCs/>
                      <w:sz w:val="24"/>
                      <w:szCs w:val="24"/>
                    </w:rPr>
                    <w:pict w14:anchorId="7C2AF19F">
                      <v:rect id="_x0000_i1025" style="width:0;height:1.5pt" o:hralign="center" o:hrstd="t" o:hr="t" fillcolor="#a0a0a0" stroked="f"/>
                    </w:pict>
                  </w:r>
                </w:p>
                <w:p w14:paraId="3EEAC7F7" w14:textId="50B22E2D" w:rsidR="00D90317" w:rsidRPr="00C103E8" w:rsidRDefault="0011778C" w:rsidP="00D90317">
                  <w:pPr>
                    <w:spacing w:before="150" w:after="150" w:line="276" w:lineRule="auto"/>
                    <w:rPr>
                      <w:rFonts w:asciiTheme="majorHAnsi" w:hAnsiTheme="majorHAnsi" w:cs="Helvetica"/>
                      <w:b/>
                      <w:bCs/>
                      <w:color w:val="00A499"/>
                      <w:sz w:val="32"/>
                      <w:szCs w:val="32"/>
                    </w:rPr>
                  </w:pPr>
                  <w:bookmarkStart w:id="3" w:name="Story4"/>
                  <w:r w:rsidRPr="00C103E8">
                    <w:rPr>
                      <w:rFonts w:asciiTheme="majorHAnsi" w:hAnsiTheme="majorHAnsi" w:cs="Helvetica"/>
                      <w:b/>
                      <w:bCs/>
                      <w:color w:val="00A499"/>
                      <w:sz w:val="32"/>
                      <w:szCs w:val="32"/>
                    </w:rPr>
                    <w:t>Inhaler Spacer Device</w:t>
                  </w:r>
                  <w:r w:rsidR="00D90317" w:rsidRPr="00C103E8">
                    <w:rPr>
                      <w:rFonts w:asciiTheme="majorHAnsi" w:hAnsiTheme="majorHAnsi" w:cs="Helvetica"/>
                      <w:b/>
                      <w:bCs/>
                      <w:color w:val="00A499"/>
                      <w:sz w:val="32"/>
                      <w:szCs w:val="32"/>
                    </w:rPr>
                    <w:t xml:space="preserve"> Prescribing </w:t>
                  </w:r>
                </w:p>
                <w:bookmarkEnd w:id="3"/>
                <w:p w14:paraId="3F51A98A" w14:textId="6C4005FF" w:rsidR="0011778C" w:rsidRPr="00C103E8" w:rsidRDefault="006A06A2" w:rsidP="0011778C">
                  <w:pPr>
                    <w:spacing w:line="360" w:lineRule="auto"/>
                    <w:rPr>
                      <w:rFonts w:asciiTheme="majorHAnsi" w:hAnsiTheme="majorHAnsi" w:cstheme="minorBidi"/>
                      <w:sz w:val="24"/>
                      <w:szCs w:val="24"/>
                    </w:rPr>
                  </w:pPr>
                  <w:r>
                    <w:rPr>
                      <w:rFonts w:asciiTheme="majorHAnsi" w:hAnsiTheme="majorHAnsi"/>
                      <w:sz w:val="24"/>
                      <w:szCs w:val="24"/>
                    </w:rPr>
                    <w:t xml:space="preserve">The </w:t>
                  </w:r>
                  <w:r w:rsidR="0011778C" w:rsidRPr="00C103E8">
                    <w:rPr>
                      <w:rFonts w:asciiTheme="majorHAnsi" w:hAnsiTheme="majorHAnsi"/>
                      <w:sz w:val="24"/>
                      <w:szCs w:val="24"/>
                    </w:rPr>
                    <w:t xml:space="preserve">KMICB Medicines Optimisation Governance Committee have recently approved </w:t>
                  </w:r>
                  <w:proofErr w:type="spellStart"/>
                  <w:r w:rsidR="0011778C" w:rsidRPr="00C103E8">
                    <w:rPr>
                      <w:rFonts w:asciiTheme="majorHAnsi" w:hAnsiTheme="majorHAnsi"/>
                      <w:sz w:val="24"/>
                      <w:szCs w:val="24"/>
                    </w:rPr>
                    <w:t>EasyChamber</w:t>
                  </w:r>
                  <w:proofErr w:type="spellEnd"/>
                  <w:r w:rsidR="0083743A" w:rsidRPr="0083743A">
                    <w:rPr>
                      <w:rFonts w:asciiTheme="majorHAnsi" w:hAnsiTheme="majorHAnsi"/>
                      <w:sz w:val="24"/>
                      <w:szCs w:val="24"/>
                      <w:vertAlign w:val="superscript"/>
                    </w:rPr>
                    <w:t>®</w:t>
                  </w:r>
                  <w:r w:rsidR="0011778C" w:rsidRPr="00C103E8">
                    <w:rPr>
                      <w:rFonts w:asciiTheme="majorHAnsi" w:hAnsiTheme="majorHAnsi"/>
                      <w:sz w:val="24"/>
                      <w:szCs w:val="24"/>
                    </w:rPr>
                    <w:t xml:space="preserve"> spacers for addition to all formularies across Kent and Medway and as the preferred brand of spacer. </w:t>
                  </w:r>
                </w:p>
                <w:p w14:paraId="3AE1D692" w14:textId="56D0036A" w:rsidR="0011778C" w:rsidRPr="00C103E8" w:rsidRDefault="0011778C" w:rsidP="0011778C">
                  <w:pPr>
                    <w:spacing w:line="360" w:lineRule="auto"/>
                    <w:rPr>
                      <w:rFonts w:asciiTheme="majorHAnsi" w:hAnsiTheme="majorHAnsi" w:cstheme="minorHAnsi"/>
                      <w:sz w:val="24"/>
                      <w:szCs w:val="24"/>
                    </w:rPr>
                  </w:pPr>
                  <w:r w:rsidRPr="00C103E8">
                    <w:rPr>
                      <w:rFonts w:asciiTheme="majorHAnsi" w:hAnsiTheme="majorHAnsi" w:cstheme="minorHAnsi"/>
                      <w:sz w:val="24"/>
                      <w:szCs w:val="24"/>
                    </w:rPr>
                    <w:t xml:space="preserve">The benefits of the </w:t>
                  </w:r>
                  <w:proofErr w:type="spellStart"/>
                  <w:r w:rsidR="0083743A">
                    <w:rPr>
                      <w:rFonts w:asciiTheme="majorHAnsi" w:hAnsiTheme="majorHAnsi" w:cstheme="minorHAnsi"/>
                      <w:sz w:val="24"/>
                      <w:szCs w:val="24"/>
                    </w:rPr>
                    <w:t>EasyChamber</w:t>
                  </w:r>
                  <w:proofErr w:type="spellEnd"/>
                  <w:r w:rsidR="0083743A" w:rsidRPr="0083743A">
                    <w:rPr>
                      <w:rFonts w:asciiTheme="majorHAnsi" w:hAnsiTheme="majorHAnsi" w:cstheme="minorHAnsi"/>
                      <w:sz w:val="24"/>
                      <w:szCs w:val="24"/>
                      <w:vertAlign w:val="superscript"/>
                    </w:rPr>
                    <w:t>®</w:t>
                  </w:r>
                  <w:r w:rsidR="0083743A">
                    <w:rPr>
                      <w:rFonts w:asciiTheme="majorHAnsi" w:hAnsiTheme="majorHAnsi" w:cstheme="minorHAnsi"/>
                      <w:sz w:val="24"/>
                      <w:szCs w:val="24"/>
                      <w:vertAlign w:val="superscript"/>
                    </w:rPr>
                    <w:t xml:space="preserve"> </w:t>
                  </w:r>
                  <w:r w:rsidRPr="00C103E8">
                    <w:rPr>
                      <w:rFonts w:asciiTheme="majorHAnsi" w:hAnsiTheme="majorHAnsi" w:cstheme="minorHAnsi"/>
                      <w:sz w:val="24"/>
                      <w:szCs w:val="24"/>
                    </w:rPr>
                    <w:t>include:</w:t>
                  </w:r>
                </w:p>
                <w:p w14:paraId="04F164CD" w14:textId="67C0EBC2" w:rsidR="0011778C" w:rsidRPr="00C103E8" w:rsidRDefault="0011778C" w:rsidP="0011778C">
                  <w:pPr>
                    <w:numPr>
                      <w:ilvl w:val="0"/>
                      <w:numId w:val="20"/>
                    </w:numPr>
                    <w:shd w:val="clear" w:color="auto" w:fill="FFFFFF"/>
                    <w:spacing w:line="360" w:lineRule="auto"/>
                    <w:ind w:left="714" w:hanging="357"/>
                    <w:rPr>
                      <w:rFonts w:asciiTheme="majorHAnsi" w:hAnsiTheme="majorHAnsi" w:cstheme="minorHAnsi"/>
                      <w:sz w:val="24"/>
                      <w:szCs w:val="24"/>
                    </w:rPr>
                  </w:pPr>
                  <w:r w:rsidRPr="00C103E8">
                    <w:rPr>
                      <w:rFonts w:asciiTheme="majorHAnsi" w:hAnsiTheme="majorHAnsi" w:cstheme="minorHAnsi"/>
                      <w:sz w:val="24"/>
                      <w:szCs w:val="24"/>
                    </w:rPr>
                    <w:t xml:space="preserve">Better </w:t>
                  </w:r>
                  <w:r w:rsidR="000C3D21">
                    <w:rPr>
                      <w:rFonts w:asciiTheme="majorHAnsi" w:hAnsiTheme="majorHAnsi" w:cstheme="minorHAnsi"/>
                      <w:sz w:val="24"/>
                      <w:szCs w:val="24"/>
                    </w:rPr>
                    <w:t>d</w:t>
                  </w:r>
                  <w:r w:rsidRPr="00C103E8">
                    <w:rPr>
                      <w:rFonts w:asciiTheme="majorHAnsi" w:hAnsiTheme="majorHAnsi" w:cstheme="minorHAnsi"/>
                      <w:sz w:val="24"/>
                      <w:szCs w:val="24"/>
                    </w:rPr>
                    <w:t>eposition in lungs in comparison to the Aerochamber</w:t>
                  </w:r>
                  <w:r w:rsidR="000C3D21" w:rsidRPr="000C3D21">
                    <w:rPr>
                      <w:rFonts w:asciiTheme="majorHAnsi" w:hAnsiTheme="majorHAnsi"/>
                      <w:sz w:val="24"/>
                      <w:szCs w:val="24"/>
                      <w:vertAlign w:val="superscript"/>
                    </w:rPr>
                    <w:t>®</w:t>
                  </w:r>
                  <w:r w:rsidRPr="00C103E8">
                    <w:rPr>
                      <w:rFonts w:asciiTheme="majorHAnsi" w:hAnsiTheme="majorHAnsi" w:cstheme="minorHAnsi"/>
                      <w:sz w:val="24"/>
                      <w:szCs w:val="24"/>
                    </w:rPr>
                    <w:t xml:space="preserve"> spacer </w:t>
                  </w:r>
                </w:p>
                <w:p w14:paraId="3BB4C412" w14:textId="77777777" w:rsidR="0011778C" w:rsidRPr="00C103E8" w:rsidRDefault="0011778C" w:rsidP="0011778C">
                  <w:pPr>
                    <w:numPr>
                      <w:ilvl w:val="0"/>
                      <w:numId w:val="20"/>
                    </w:numPr>
                    <w:shd w:val="clear" w:color="auto" w:fill="FFFFFF"/>
                    <w:spacing w:line="360" w:lineRule="auto"/>
                    <w:ind w:left="714" w:hanging="357"/>
                    <w:rPr>
                      <w:rFonts w:asciiTheme="majorHAnsi" w:hAnsiTheme="majorHAnsi" w:cstheme="minorHAnsi"/>
                      <w:sz w:val="24"/>
                      <w:szCs w:val="24"/>
                    </w:rPr>
                  </w:pPr>
                  <w:r w:rsidRPr="00C103E8">
                    <w:rPr>
                      <w:rFonts w:asciiTheme="majorHAnsi" w:hAnsiTheme="majorHAnsi" w:cstheme="minorHAnsi"/>
                      <w:sz w:val="24"/>
                      <w:szCs w:val="24"/>
                    </w:rPr>
                    <w:t>Maximises the aerosol suspension time and assure a more efficient dose from the MDI with an anti-static chamber.</w:t>
                  </w:r>
                </w:p>
                <w:p w14:paraId="20D2B7D7" w14:textId="6CCCAB40" w:rsidR="0011778C" w:rsidRPr="00C103E8" w:rsidRDefault="0011778C" w:rsidP="0011778C">
                  <w:pPr>
                    <w:numPr>
                      <w:ilvl w:val="0"/>
                      <w:numId w:val="20"/>
                    </w:numPr>
                    <w:shd w:val="clear" w:color="auto" w:fill="FFFFFF"/>
                    <w:spacing w:line="360" w:lineRule="auto"/>
                    <w:ind w:left="714" w:hanging="357"/>
                    <w:rPr>
                      <w:rFonts w:asciiTheme="majorHAnsi" w:hAnsiTheme="majorHAnsi" w:cstheme="minorHAnsi"/>
                      <w:sz w:val="24"/>
                      <w:szCs w:val="24"/>
                    </w:rPr>
                  </w:pPr>
                  <w:r w:rsidRPr="00C103E8">
                    <w:rPr>
                      <w:rFonts w:asciiTheme="majorHAnsi" w:hAnsiTheme="majorHAnsi" w:cstheme="minorHAnsi"/>
                      <w:sz w:val="24"/>
                      <w:szCs w:val="24"/>
                    </w:rPr>
                    <w:t xml:space="preserve">Latex-free, </w:t>
                  </w:r>
                  <w:proofErr w:type="gramStart"/>
                  <w:r w:rsidRPr="00C103E8">
                    <w:rPr>
                      <w:rFonts w:asciiTheme="majorHAnsi" w:hAnsiTheme="majorHAnsi" w:cstheme="minorHAnsi"/>
                      <w:sz w:val="24"/>
                      <w:szCs w:val="24"/>
                    </w:rPr>
                    <w:t>anatomical</w:t>
                  </w:r>
                  <w:proofErr w:type="gramEnd"/>
                  <w:r w:rsidRPr="00C103E8">
                    <w:rPr>
                      <w:rFonts w:asciiTheme="majorHAnsi" w:hAnsiTheme="majorHAnsi" w:cstheme="minorHAnsi"/>
                      <w:sz w:val="24"/>
                      <w:szCs w:val="24"/>
                    </w:rPr>
                    <w:t xml:space="preserve"> and comfortable silicone mask with variants for Adult</w:t>
                  </w:r>
                  <w:r w:rsidR="006A06A2">
                    <w:rPr>
                      <w:rFonts w:asciiTheme="majorHAnsi" w:hAnsiTheme="majorHAnsi" w:cstheme="minorHAnsi"/>
                      <w:sz w:val="24"/>
                      <w:szCs w:val="24"/>
                    </w:rPr>
                    <w:t>s</w:t>
                  </w:r>
                  <w:r w:rsidRPr="00C103E8">
                    <w:rPr>
                      <w:rFonts w:asciiTheme="majorHAnsi" w:hAnsiTheme="majorHAnsi" w:cstheme="minorHAnsi"/>
                      <w:sz w:val="24"/>
                      <w:szCs w:val="24"/>
                    </w:rPr>
                    <w:t>, Child</w:t>
                  </w:r>
                  <w:r w:rsidR="006A06A2">
                    <w:rPr>
                      <w:rFonts w:asciiTheme="majorHAnsi" w:hAnsiTheme="majorHAnsi" w:cstheme="minorHAnsi"/>
                      <w:sz w:val="24"/>
                      <w:szCs w:val="24"/>
                    </w:rPr>
                    <w:t>ren</w:t>
                  </w:r>
                  <w:r w:rsidRPr="00C103E8">
                    <w:rPr>
                      <w:rFonts w:asciiTheme="majorHAnsi" w:hAnsiTheme="majorHAnsi" w:cstheme="minorHAnsi"/>
                      <w:sz w:val="24"/>
                      <w:szCs w:val="24"/>
                    </w:rPr>
                    <w:t xml:space="preserve"> &amp; Infant</w:t>
                  </w:r>
                  <w:r w:rsidR="006A06A2">
                    <w:rPr>
                      <w:rFonts w:asciiTheme="majorHAnsi" w:hAnsiTheme="majorHAnsi" w:cstheme="minorHAnsi"/>
                      <w:sz w:val="24"/>
                      <w:szCs w:val="24"/>
                    </w:rPr>
                    <w:t>s.</w:t>
                  </w:r>
                </w:p>
                <w:p w14:paraId="4EE369A7" w14:textId="39C9A563" w:rsidR="0011778C" w:rsidRPr="00C103E8" w:rsidRDefault="0011778C" w:rsidP="0011778C">
                  <w:pPr>
                    <w:numPr>
                      <w:ilvl w:val="0"/>
                      <w:numId w:val="20"/>
                    </w:numPr>
                    <w:shd w:val="clear" w:color="auto" w:fill="FFFFFF"/>
                    <w:spacing w:line="360" w:lineRule="auto"/>
                    <w:ind w:left="714" w:hanging="357"/>
                    <w:rPr>
                      <w:rFonts w:asciiTheme="majorHAnsi" w:hAnsiTheme="majorHAnsi" w:cstheme="minorHAnsi"/>
                      <w:sz w:val="24"/>
                      <w:szCs w:val="24"/>
                    </w:rPr>
                  </w:pPr>
                  <w:r w:rsidRPr="00C103E8">
                    <w:rPr>
                      <w:rFonts w:asciiTheme="majorHAnsi" w:hAnsiTheme="majorHAnsi" w:cstheme="minorHAnsi"/>
                      <w:sz w:val="24"/>
                      <w:szCs w:val="24"/>
                    </w:rPr>
                    <w:lastRenderedPageBreak/>
                    <w:t xml:space="preserve">Detachable silicone mask that offers flexibility to use </w:t>
                  </w:r>
                  <w:r w:rsidR="006A06A2">
                    <w:rPr>
                      <w:rFonts w:asciiTheme="majorHAnsi" w:hAnsiTheme="majorHAnsi" w:cstheme="minorHAnsi"/>
                      <w:sz w:val="24"/>
                      <w:szCs w:val="24"/>
                    </w:rPr>
                    <w:t xml:space="preserve">the </w:t>
                  </w:r>
                  <w:r w:rsidRPr="00C103E8">
                    <w:rPr>
                      <w:rFonts w:asciiTheme="majorHAnsi" w:hAnsiTheme="majorHAnsi" w:cstheme="minorHAnsi"/>
                      <w:sz w:val="24"/>
                      <w:szCs w:val="24"/>
                    </w:rPr>
                    <w:t>spacer without a mask, if required.</w:t>
                  </w:r>
                </w:p>
                <w:p w14:paraId="05590E81" w14:textId="77777777" w:rsidR="0011778C" w:rsidRPr="00C103E8" w:rsidRDefault="0011778C" w:rsidP="0011778C">
                  <w:pPr>
                    <w:numPr>
                      <w:ilvl w:val="0"/>
                      <w:numId w:val="20"/>
                    </w:numPr>
                    <w:shd w:val="clear" w:color="auto" w:fill="FFFFFF"/>
                    <w:spacing w:line="360" w:lineRule="auto"/>
                    <w:ind w:left="714" w:hanging="357"/>
                    <w:rPr>
                      <w:rFonts w:asciiTheme="majorHAnsi" w:hAnsiTheme="majorHAnsi" w:cstheme="minorHAnsi"/>
                      <w:sz w:val="24"/>
                      <w:szCs w:val="24"/>
                    </w:rPr>
                  </w:pPr>
                  <w:r w:rsidRPr="00C103E8">
                    <w:rPr>
                      <w:rFonts w:asciiTheme="majorHAnsi" w:hAnsiTheme="majorHAnsi" w:cstheme="minorHAnsi"/>
                      <w:sz w:val="24"/>
                      <w:szCs w:val="24"/>
                    </w:rPr>
                    <w:t>The inhalation through cross valves ensures low resistance when breathing in and prevents accidental breathing out into the chamber.</w:t>
                  </w:r>
                </w:p>
                <w:p w14:paraId="448E0E61" w14:textId="77777777" w:rsidR="0011778C" w:rsidRPr="00C103E8" w:rsidRDefault="0011778C" w:rsidP="0011778C">
                  <w:pPr>
                    <w:numPr>
                      <w:ilvl w:val="0"/>
                      <w:numId w:val="20"/>
                    </w:numPr>
                    <w:shd w:val="clear" w:color="auto" w:fill="FFFFFF"/>
                    <w:spacing w:line="360" w:lineRule="auto"/>
                    <w:ind w:left="714" w:hanging="357"/>
                    <w:rPr>
                      <w:rFonts w:asciiTheme="majorHAnsi" w:hAnsiTheme="majorHAnsi" w:cstheme="minorHAnsi"/>
                      <w:sz w:val="24"/>
                      <w:szCs w:val="24"/>
                    </w:rPr>
                  </w:pPr>
                  <w:r w:rsidRPr="00C103E8">
                    <w:rPr>
                      <w:rFonts w:asciiTheme="majorHAnsi" w:hAnsiTheme="majorHAnsi" w:cstheme="minorHAnsi"/>
                      <w:sz w:val="24"/>
                      <w:szCs w:val="24"/>
                    </w:rPr>
                    <w:t>Improved drug delivery and ease of use due to one-way inhalation.</w:t>
                  </w:r>
                </w:p>
                <w:p w14:paraId="18CA7CD4" w14:textId="0A2E0620" w:rsidR="0011778C" w:rsidRPr="00C103E8" w:rsidRDefault="0011778C" w:rsidP="0011778C">
                  <w:pPr>
                    <w:numPr>
                      <w:ilvl w:val="0"/>
                      <w:numId w:val="20"/>
                    </w:numPr>
                    <w:shd w:val="clear" w:color="auto" w:fill="FFFFFF"/>
                    <w:spacing w:line="360" w:lineRule="auto"/>
                    <w:ind w:left="714" w:hanging="357"/>
                    <w:rPr>
                      <w:rFonts w:asciiTheme="majorHAnsi" w:hAnsiTheme="majorHAnsi" w:cstheme="minorHAnsi"/>
                      <w:sz w:val="24"/>
                      <w:szCs w:val="24"/>
                    </w:rPr>
                  </w:pPr>
                  <w:r w:rsidRPr="00C103E8">
                    <w:rPr>
                      <w:rFonts w:asciiTheme="majorHAnsi" w:hAnsiTheme="majorHAnsi" w:cstheme="minorHAnsi"/>
                      <w:sz w:val="24"/>
                      <w:szCs w:val="24"/>
                    </w:rPr>
                    <w:t>Flow</w:t>
                  </w:r>
                  <w:r w:rsidR="0083743A">
                    <w:rPr>
                      <w:rFonts w:asciiTheme="majorHAnsi" w:hAnsiTheme="majorHAnsi" w:cstheme="minorHAnsi"/>
                      <w:sz w:val="24"/>
                      <w:szCs w:val="24"/>
                    </w:rPr>
                    <w:t xml:space="preserve"> </w:t>
                  </w:r>
                  <w:r w:rsidRPr="00C103E8">
                    <w:rPr>
                      <w:rFonts w:asciiTheme="majorHAnsi" w:hAnsiTheme="majorHAnsi" w:cstheme="minorHAnsi"/>
                      <w:sz w:val="24"/>
                      <w:szCs w:val="24"/>
                    </w:rPr>
                    <w:t>Signal whistle indicator sounds when breathing in too fast</w:t>
                  </w:r>
                  <w:r w:rsidR="006A06A2">
                    <w:rPr>
                      <w:rFonts w:asciiTheme="majorHAnsi" w:hAnsiTheme="majorHAnsi" w:cstheme="minorHAnsi"/>
                      <w:sz w:val="24"/>
                      <w:szCs w:val="24"/>
                    </w:rPr>
                    <w:t xml:space="preserve"> and </w:t>
                  </w:r>
                  <w:r w:rsidRPr="00C103E8">
                    <w:rPr>
                      <w:rFonts w:asciiTheme="majorHAnsi" w:hAnsiTheme="majorHAnsi" w:cstheme="minorHAnsi"/>
                      <w:sz w:val="24"/>
                      <w:szCs w:val="24"/>
                    </w:rPr>
                    <w:t>encourages the patient to breathe slowly.</w:t>
                  </w:r>
                </w:p>
                <w:p w14:paraId="73BA93E2" w14:textId="72908B31" w:rsidR="00C103E8" w:rsidRDefault="0011778C" w:rsidP="000C3D21">
                  <w:pPr>
                    <w:shd w:val="clear" w:color="auto" w:fill="FFFFFF"/>
                    <w:spacing w:line="360" w:lineRule="auto"/>
                    <w:rPr>
                      <w:rFonts w:asciiTheme="majorHAnsi" w:hAnsiTheme="majorHAnsi" w:cstheme="minorHAnsi"/>
                      <w:sz w:val="24"/>
                      <w:szCs w:val="24"/>
                    </w:rPr>
                  </w:pPr>
                  <w:r w:rsidRPr="00C103E8">
                    <w:rPr>
                      <w:rFonts w:asciiTheme="majorHAnsi" w:hAnsiTheme="majorHAnsi" w:cstheme="minorHAnsi"/>
                      <w:sz w:val="24"/>
                      <w:szCs w:val="24"/>
                    </w:rPr>
                    <w:t>Scriptswitch messages have been deployed to assist with this.</w:t>
                  </w:r>
                </w:p>
                <w:p w14:paraId="2E38BC2E" w14:textId="77777777" w:rsidR="000C3D21" w:rsidRPr="000C3D21" w:rsidRDefault="000C3D21" w:rsidP="000C3D21">
                  <w:pPr>
                    <w:shd w:val="clear" w:color="auto" w:fill="FFFFFF"/>
                    <w:spacing w:line="360" w:lineRule="auto"/>
                    <w:rPr>
                      <w:rFonts w:asciiTheme="majorHAnsi" w:hAnsiTheme="majorHAnsi" w:cs="Helvetica"/>
                      <w:b/>
                      <w:bCs/>
                      <w:color w:val="00A499"/>
                      <w:sz w:val="24"/>
                      <w:szCs w:val="24"/>
                    </w:rPr>
                  </w:pPr>
                </w:p>
                <w:p w14:paraId="795DFA72" w14:textId="1D2A1D81" w:rsidR="00D90317" w:rsidRPr="00C103E8" w:rsidRDefault="0011778C" w:rsidP="00D90317">
                  <w:pPr>
                    <w:spacing w:before="150" w:after="150" w:line="276" w:lineRule="auto"/>
                    <w:rPr>
                      <w:rFonts w:asciiTheme="majorHAnsi" w:hAnsiTheme="majorHAnsi" w:cs="Helvetica"/>
                      <w:b/>
                      <w:bCs/>
                      <w:color w:val="00A499"/>
                      <w:sz w:val="32"/>
                      <w:szCs w:val="32"/>
                    </w:rPr>
                  </w:pPr>
                  <w:bookmarkStart w:id="4" w:name="Story5"/>
                  <w:r w:rsidRPr="00C103E8">
                    <w:rPr>
                      <w:rFonts w:asciiTheme="majorHAnsi" w:hAnsiTheme="majorHAnsi" w:cs="Helvetica"/>
                      <w:b/>
                      <w:bCs/>
                      <w:color w:val="00A499"/>
                      <w:sz w:val="32"/>
                      <w:szCs w:val="32"/>
                    </w:rPr>
                    <w:t xml:space="preserve">Salbutamol Brand Prescribing </w:t>
                  </w:r>
                  <w:r w:rsidR="00D90317" w:rsidRPr="00C103E8">
                    <w:rPr>
                      <w:rFonts w:asciiTheme="majorHAnsi" w:hAnsiTheme="majorHAnsi" w:cs="Helvetica"/>
                      <w:b/>
                      <w:bCs/>
                      <w:color w:val="00A499"/>
                      <w:sz w:val="32"/>
                      <w:szCs w:val="32"/>
                    </w:rPr>
                    <w:t xml:space="preserve"> </w:t>
                  </w:r>
                </w:p>
                <w:bookmarkEnd w:id="4"/>
                <w:p w14:paraId="13931CDC" w14:textId="204D1F03" w:rsidR="0011778C" w:rsidRPr="00C103E8" w:rsidRDefault="006A06A2" w:rsidP="0011778C">
                  <w:pPr>
                    <w:spacing w:line="360" w:lineRule="auto"/>
                    <w:rPr>
                      <w:rFonts w:asciiTheme="majorHAnsi" w:hAnsiTheme="majorHAnsi"/>
                      <w:sz w:val="24"/>
                      <w:szCs w:val="24"/>
                    </w:rPr>
                  </w:pPr>
                  <w:r>
                    <w:rPr>
                      <w:rFonts w:asciiTheme="majorHAnsi" w:hAnsiTheme="majorHAnsi"/>
                      <w:sz w:val="24"/>
                      <w:szCs w:val="24"/>
                    </w:rPr>
                    <w:t xml:space="preserve">The </w:t>
                  </w:r>
                  <w:r w:rsidR="0011778C" w:rsidRPr="00C103E8">
                    <w:rPr>
                      <w:rFonts w:asciiTheme="majorHAnsi" w:hAnsiTheme="majorHAnsi"/>
                      <w:sz w:val="24"/>
                      <w:szCs w:val="24"/>
                    </w:rPr>
                    <w:t xml:space="preserve">KMICB </w:t>
                  </w:r>
                  <w:r>
                    <w:rPr>
                      <w:rFonts w:asciiTheme="majorHAnsi" w:hAnsiTheme="majorHAnsi"/>
                      <w:sz w:val="24"/>
                      <w:szCs w:val="24"/>
                    </w:rPr>
                    <w:t>M</w:t>
                  </w:r>
                  <w:r w:rsidR="0011778C" w:rsidRPr="00C103E8">
                    <w:rPr>
                      <w:rFonts w:asciiTheme="majorHAnsi" w:hAnsiTheme="majorHAnsi"/>
                      <w:sz w:val="24"/>
                      <w:szCs w:val="24"/>
                    </w:rPr>
                    <w:t xml:space="preserve">edicines Optimisation Governance Committee have recently approved the addition of </w:t>
                  </w:r>
                  <w:r w:rsidR="0083743A">
                    <w:rPr>
                      <w:rFonts w:asciiTheme="majorHAnsi" w:hAnsiTheme="majorHAnsi"/>
                      <w:sz w:val="24"/>
                      <w:szCs w:val="24"/>
                    </w:rPr>
                    <w:t>Salamol</w:t>
                  </w:r>
                  <w:r w:rsidR="0083743A" w:rsidRPr="000C3D21">
                    <w:rPr>
                      <w:rFonts w:asciiTheme="majorHAnsi" w:hAnsiTheme="majorHAnsi"/>
                      <w:sz w:val="24"/>
                      <w:szCs w:val="24"/>
                      <w:vertAlign w:val="superscript"/>
                    </w:rPr>
                    <w:t>®</w:t>
                  </w:r>
                  <w:r w:rsidR="0011778C" w:rsidRPr="00C103E8">
                    <w:rPr>
                      <w:rFonts w:asciiTheme="majorHAnsi" w:hAnsiTheme="majorHAnsi"/>
                      <w:sz w:val="24"/>
                      <w:szCs w:val="24"/>
                    </w:rPr>
                    <w:t xml:space="preserve"> MDI and </w:t>
                  </w:r>
                  <w:proofErr w:type="spellStart"/>
                  <w:r w:rsidR="0011778C" w:rsidRPr="00C103E8">
                    <w:rPr>
                      <w:rFonts w:asciiTheme="majorHAnsi" w:hAnsiTheme="majorHAnsi"/>
                      <w:sz w:val="24"/>
                      <w:szCs w:val="24"/>
                    </w:rPr>
                    <w:t>Sabutamol</w:t>
                  </w:r>
                  <w:proofErr w:type="spellEnd"/>
                  <w:r w:rsidR="0011778C" w:rsidRPr="00C103E8">
                    <w:rPr>
                      <w:rFonts w:asciiTheme="majorHAnsi" w:hAnsiTheme="majorHAnsi"/>
                      <w:sz w:val="24"/>
                      <w:szCs w:val="24"/>
                    </w:rPr>
                    <w:t xml:space="preserve"> </w:t>
                  </w:r>
                  <w:proofErr w:type="spellStart"/>
                  <w:r w:rsidR="0011778C" w:rsidRPr="00C103E8">
                    <w:rPr>
                      <w:rFonts w:asciiTheme="majorHAnsi" w:hAnsiTheme="majorHAnsi"/>
                      <w:sz w:val="24"/>
                      <w:szCs w:val="24"/>
                    </w:rPr>
                    <w:t>Easy</w:t>
                  </w:r>
                  <w:r w:rsidR="000C3D21">
                    <w:rPr>
                      <w:rFonts w:asciiTheme="majorHAnsi" w:hAnsiTheme="majorHAnsi"/>
                      <w:sz w:val="24"/>
                      <w:szCs w:val="24"/>
                    </w:rPr>
                    <w:t>H</w:t>
                  </w:r>
                  <w:r w:rsidR="0011778C" w:rsidRPr="00C103E8">
                    <w:rPr>
                      <w:rFonts w:asciiTheme="majorHAnsi" w:hAnsiTheme="majorHAnsi"/>
                      <w:sz w:val="24"/>
                      <w:szCs w:val="24"/>
                    </w:rPr>
                    <w:t>aler</w:t>
                  </w:r>
                  <w:proofErr w:type="spellEnd"/>
                  <w:r w:rsidR="000C3D21" w:rsidRPr="000C3D21">
                    <w:rPr>
                      <w:rFonts w:asciiTheme="majorHAnsi" w:hAnsiTheme="majorHAnsi"/>
                      <w:sz w:val="24"/>
                      <w:szCs w:val="24"/>
                      <w:vertAlign w:val="superscript"/>
                    </w:rPr>
                    <w:t>®</w:t>
                  </w:r>
                  <w:r w:rsidR="0011778C" w:rsidRPr="00C103E8">
                    <w:rPr>
                      <w:rFonts w:asciiTheme="majorHAnsi" w:hAnsiTheme="majorHAnsi"/>
                      <w:sz w:val="24"/>
                      <w:szCs w:val="24"/>
                    </w:rPr>
                    <w:t xml:space="preserve"> DPI inhalers to all formularies across Kent and Medway as the preferred brands of Salbutamol inhalers.</w:t>
                  </w:r>
                </w:p>
                <w:p w14:paraId="0DC6F0BA" w14:textId="66358B32" w:rsidR="0011778C" w:rsidRPr="00C103E8" w:rsidRDefault="0011778C" w:rsidP="0011778C">
                  <w:pPr>
                    <w:spacing w:line="360" w:lineRule="auto"/>
                    <w:rPr>
                      <w:rFonts w:asciiTheme="majorHAnsi" w:hAnsiTheme="majorHAnsi"/>
                      <w:sz w:val="24"/>
                      <w:szCs w:val="24"/>
                    </w:rPr>
                  </w:pPr>
                  <w:r w:rsidRPr="00C103E8">
                    <w:rPr>
                      <w:rFonts w:asciiTheme="majorHAnsi" w:hAnsiTheme="majorHAnsi"/>
                      <w:sz w:val="24"/>
                      <w:szCs w:val="24"/>
                    </w:rPr>
                    <w:t>This is to aid with the reduction of Ventolin</w:t>
                  </w:r>
                  <w:r w:rsidR="000C3D21" w:rsidRPr="000C3D21">
                    <w:rPr>
                      <w:rFonts w:asciiTheme="majorHAnsi" w:hAnsiTheme="majorHAnsi"/>
                      <w:sz w:val="24"/>
                      <w:szCs w:val="24"/>
                      <w:vertAlign w:val="superscript"/>
                    </w:rPr>
                    <w:t>®</w:t>
                  </w:r>
                  <w:r w:rsidRPr="00C103E8">
                    <w:rPr>
                      <w:rFonts w:asciiTheme="majorHAnsi" w:hAnsiTheme="majorHAnsi"/>
                      <w:sz w:val="24"/>
                      <w:szCs w:val="24"/>
                    </w:rPr>
                    <w:t xml:space="preserve"> prescribing due to the high carbon footprint in comparison with other salbutamol inhalers. Ventolin</w:t>
                  </w:r>
                  <w:r w:rsidR="000C3D21" w:rsidRPr="000C3D21">
                    <w:rPr>
                      <w:rFonts w:asciiTheme="majorHAnsi" w:hAnsiTheme="majorHAnsi"/>
                      <w:sz w:val="24"/>
                      <w:szCs w:val="24"/>
                      <w:vertAlign w:val="superscript"/>
                    </w:rPr>
                    <w:t>®</w:t>
                  </w:r>
                  <w:r w:rsidRPr="00C103E8">
                    <w:rPr>
                      <w:rFonts w:asciiTheme="majorHAnsi" w:hAnsiTheme="majorHAnsi"/>
                      <w:sz w:val="24"/>
                      <w:szCs w:val="24"/>
                    </w:rPr>
                    <w:t xml:space="preserve"> </w:t>
                  </w:r>
                  <w:r w:rsidR="006A06A2">
                    <w:rPr>
                      <w:rFonts w:asciiTheme="majorHAnsi" w:hAnsiTheme="majorHAnsi"/>
                      <w:sz w:val="24"/>
                      <w:szCs w:val="24"/>
                    </w:rPr>
                    <w:t xml:space="preserve">evohaler </w:t>
                  </w:r>
                  <w:r w:rsidRPr="00C103E8">
                    <w:rPr>
                      <w:rFonts w:asciiTheme="majorHAnsi" w:hAnsiTheme="majorHAnsi"/>
                      <w:sz w:val="24"/>
                      <w:szCs w:val="24"/>
                    </w:rPr>
                    <w:t>emits 28kgCO</w:t>
                  </w:r>
                  <w:r w:rsidRPr="00C103E8">
                    <w:rPr>
                      <w:rFonts w:asciiTheme="majorHAnsi" w:hAnsiTheme="majorHAnsi"/>
                      <w:sz w:val="24"/>
                      <w:szCs w:val="24"/>
                      <w:vertAlign w:val="subscript"/>
                    </w:rPr>
                    <w:t>2</w:t>
                  </w:r>
                  <w:r w:rsidRPr="00C103E8">
                    <w:rPr>
                      <w:rFonts w:asciiTheme="majorHAnsi" w:hAnsiTheme="majorHAnsi"/>
                      <w:sz w:val="24"/>
                      <w:szCs w:val="24"/>
                    </w:rPr>
                    <w:t xml:space="preserve"> whilst </w:t>
                  </w:r>
                  <w:r w:rsidR="0083743A">
                    <w:rPr>
                      <w:rFonts w:asciiTheme="majorHAnsi" w:hAnsiTheme="majorHAnsi"/>
                      <w:sz w:val="24"/>
                      <w:szCs w:val="24"/>
                    </w:rPr>
                    <w:t>Salamol</w:t>
                  </w:r>
                  <w:r w:rsidR="0083743A" w:rsidRPr="000C3D21">
                    <w:rPr>
                      <w:rFonts w:asciiTheme="majorHAnsi" w:hAnsiTheme="majorHAnsi"/>
                      <w:sz w:val="24"/>
                      <w:szCs w:val="24"/>
                      <w:vertAlign w:val="superscript"/>
                    </w:rPr>
                    <w:t>®</w:t>
                  </w:r>
                  <w:r w:rsidRPr="00C103E8">
                    <w:rPr>
                      <w:rFonts w:asciiTheme="majorHAnsi" w:hAnsiTheme="majorHAnsi"/>
                      <w:sz w:val="24"/>
                      <w:szCs w:val="24"/>
                    </w:rPr>
                    <w:t xml:space="preserve"> </w:t>
                  </w:r>
                  <w:r w:rsidR="006A06A2">
                    <w:rPr>
                      <w:rFonts w:asciiTheme="majorHAnsi" w:hAnsiTheme="majorHAnsi"/>
                      <w:sz w:val="24"/>
                      <w:szCs w:val="24"/>
                    </w:rPr>
                    <w:t xml:space="preserve">MDI emits </w:t>
                  </w:r>
                  <w:r w:rsidRPr="00C103E8">
                    <w:rPr>
                      <w:rFonts w:asciiTheme="majorHAnsi" w:hAnsiTheme="majorHAnsi"/>
                      <w:sz w:val="24"/>
                      <w:szCs w:val="24"/>
                    </w:rPr>
                    <w:t>12kgCO</w:t>
                  </w:r>
                  <w:r w:rsidRPr="00C103E8">
                    <w:rPr>
                      <w:rFonts w:asciiTheme="majorHAnsi" w:hAnsiTheme="majorHAnsi"/>
                      <w:sz w:val="24"/>
                      <w:szCs w:val="24"/>
                      <w:vertAlign w:val="subscript"/>
                    </w:rPr>
                    <w:t xml:space="preserve">2 </w:t>
                  </w:r>
                  <w:r w:rsidRPr="00C103E8">
                    <w:rPr>
                      <w:rFonts w:asciiTheme="majorHAnsi" w:hAnsiTheme="majorHAnsi"/>
                      <w:sz w:val="24"/>
                      <w:szCs w:val="24"/>
                    </w:rPr>
                    <w:t xml:space="preserve">and Dry Powder Inhalers are almost carbon neutral. </w:t>
                  </w:r>
                </w:p>
                <w:p w14:paraId="240DCA04" w14:textId="59968808" w:rsidR="0011778C" w:rsidRPr="00C103E8" w:rsidRDefault="0011778C" w:rsidP="0011778C">
                  <w:pPr>
                    <w:spacing w:line="360" w:lineRule="auto"/>
                    <w:rPr>
                      <w:rFonts w:asciiTheme="majorHAnsi" w:hAnsiTheme="majorHAnsi"/>
                      <w:sz w:val="24"/>
                      <w:szCs w:val="24"/>
                    </w:rPr>
                  </w:pPr>
                  <w:r w:rsidRPr="00C103E8">
                    <w:rPr>
                      <w:rFonts w:asciiTheme="majorHAnsi" w:hAnsiTheme="majorHAnsi"/>
                      <w:sz w:val="24"/>
                      <w:szCs w:val="24"/>
                    </w:rPr>
                    <w:t xml:space="preserve">A switch to </w:t>
                  </w:r>
                  <w:r w:rsidR="0083743A">
                    <w:rPr>
                      <w:rFonts w:asciiTheme="majorHAnsi" w:hAnsiTheme="majorHAnsi"/>
                      <w:sz w:val="24"/>
                      <w:szCs w:val="24"/>
                    </w:rPr>
                    <w:t>Salamol</w:t>
                  </w:r>
                  <w:r w:rsidR="0083743A" w:rsidRPr="000C3D21">
                    <w:rPr>
                      <w:rFonts w:asciiTheme="majorHAnsi" w:hAnsiTheme="majorHAnsi"/>
                      <w:sz w:val="24"/>
                      <w:szCs w:val="24"/>
                      <w:vertAlign w:val="superscript"/>
                    </w:rPr>
                    <w:t>®</w:t>
                  </w:r>
                  <w:r w:rsidRPr="00C103E8">
                    <w:rPr>
                      <w:rFonts w:asciiTheme="majorHAnsi" w:hAnsiTheme="majorHAnsi"/>
                      <w:sz w:val="24"/>
                      <w:szCs w:val="24"/>
                    </w:rPr>
                    <w:t xml:space="preserve"> MDI could potentially reduce carbon footprint by half. This also ties in with the Respiratory IIF indicators for 22-23.</w:t>
                  </w:r>
                </w:p>
                <w:p w14:paraId="400BC901" w14:textId="77777777" w:rsidR="0011778C" w:rsidRPr="00C103E8" w:rsidRDefault="0011778C" w:rsidP="0011778C">
                  <w:pPr>
                    <w:spacing w:line="360" w:lineRule="auto"/>
                    <w:rPr>
                      <w:rFonts w:asciiTheme="majorHAnsi" w:hAnsiTheme="majorHAnsi"/>
                      <w:sz w:val="24"/>
                      <w:szCs w:val="24"/>
                    </w:rPr>
                  </w:pPr>
                  <w:r w:rsidRPr="00C103E8">
                    <w:rPr>
                      <w:rFonts w:asciiTheme="majorHAnsi" w:hAnsiTheme="majorHAnsi"/>
                      <w:sz w:val="24"/>
                      <w:szCs w:val="24"/>
                    </w:rPr>
                    <w:t xml:space="preserve">At all respiratory annual reviews, please consider switching to a DPI or MART therapy if clinically suitable (good inspiratory flow) with robust inhaler technique. </w:t>
                  </w:r>
                </w:p>
                <w:p w14:paraId="1F2B0521" w14:textId="08F91862" w:rsidR="0011778C" w:rsidRPr="00C103E8" w:rsidRDefault="0011778C" w:rsidP="0011778C">
                  <w:pPr>
                    <w:spacing w:line="360" w:lineRule="auto"/>
                    <w:rPr>
                      <w:rFonts w:asciiTheme="majorHAnsi" w:hAnsiTheme="majorHAnsi"/>
                      <w:sz w:val="24"/>
                      <w:szCs w:val="24"/>
                    </w:rPr>
                  </w:pPr>
                  <w:r w:rsidRPr="00C103E8">
                    <w:rPr>
                      <w:rFonts w:asciiTheme="majorHAnsi" w:hAnsiTheme="majorHAnsi"/>
                      <w:sz w:val="24"/>
                      <w:szCs w:val="24"/>
                    </w:rPr>
                    <w:t>Furthermore, to assist in a switch from Ventolin</w:t>
                  </w:r>
                  <w:r w:rsidR="000C3D21" w:rsidRPr="000C3D21">
                    <w:rPr>
                      <w:rFonts w:asciiTheme="majorHAnsi" w:hAnsiTheme="majorHAnsi"/>
                      <w:sz w:val="24"/>
                      <w:szCs w:val="24"/>
                      <w:vertAlign w:val="superscript"/>
                    </w:rPr>
                    <w:t>®</w:t>
                  </w:r>
                  <w:r w:rsidRPr="00C103E8">
                    <w:rPr>
                      <w:rFonts w:asciiTheme="majorHAnsi" w:hAnsiTheme="majorHAnsi"/>
                      <w:sz w:val="24"/>
                      <w:szCs w:val="24"/>
                    </w:rPr>
                    <w:t xml:space="preserve"> Evohaler to </w:t>
                  </w:r>
                  <w:r w:rsidR="0083743A">
                    <w:rPr>
                      <w:rFonts w:asciiTheme="majorHAnsi" w:hAnsiTheme="majorHAnsi"/>
                      <w:sz w:val="24"/>
                      <w:szCs w:val="24"/>
                    </w:rPr>
                    <w:t>Salamol</w:t>
                  </w:r>
                  <w:r w:rsidR="0083743A" w:rsidRPr="0083743A">
                    <w:rPr>
                      <w:rFonts w:asciiTheme="majorHAnsi" w:hAnsiTheme="majorHAnsi"/>
                      <w:sz w:val="24"/>
                      <w:szCs w:val="24"/>
                      <w:vertAlign w:val="superscript"/>
                    </w:rPr>
                    <w:t>®</w:t>
                  </w:r>
                  <w:r w:rsidRPr="00C103E8">
                    <w:rPr>
                      <w:rFonts w:asciiTheme="majorHAnsi" w:hAnsiTheme="majorHAnsi"/>
                      <w:sz w:val="24"/>
                      <w:szCs w:val="24"/>
                    </w:rPr>
                    <w:t xml:space="preserve"> MDI, scriptswitch messages have been deployed and the manufacturers of </w:t>
                  </w:r>
                  <w:r w:rsidR="0083743A">
                    <w:rPr>
                      <w:rFonts w:asciiTheme="majorHAnsi" w:hAnsiTheme="majorHAnsi"/>
                      <w:sz w:val="24"/>
                      <w:szCs w:val="24"/>
                    </w:rPr>
                    <w:t>Salamol</w:t>
                  </w:r>
                  <w:r w:rsidR="0083743A" w:rsidRPr="0083743A">
                    <w:rPr>
                      <w:rFonts w:asciiTheme="majorHAnsi" w:hAnsiTheme="majorHAnsi"/>
                      <w:sz w:val="24"/>
                      <w:szCs w:val="24"/>
                      <w:vertAlign w:val="superscript"/>
                    </w:rPr>
                    <w:t>®</w:t>
                  </w:r>
                  <w:r w:rsidRPr="00C103E8">
                    <w:rPr>
                      <w:rFonts w:asciiTheme="majorHAnsi" w:hAnsiTheme="majorHAnsi"/>
                      <w:sz w:val="24"/>
                      <w:szCs w:val="24"/>
                    </w:rPr>
                    <w:t xml:space="preserve"> (TEVA Pharmaceuticals) have produced a very handy tear off patient information sheet in the following format.  Please see embedded document below. </w:t>
                  </w:r>
                </w:p>
                <w:p w14:paraId="50708DB1" w14:textId="3AABE942" w:rsidR="0011778C" w:rsidRPr="00C103E8" w:rsidRDefault="00E03396" w:rsidP="0011778C">
                  <w:pPr>
                    <w:spacing w:line="360" w:lineRule="auto"/>
                    <w:rPr>
                      <w:rFonts w:asciiTheme="majorHAnsi" w:hAnsiTheme="majorHAnsi" w:cs="Arial"/>
                      <w:b/>
                      <w:sz w:val="24"/>
                      <w:szCs w:val="24"/>
                    </w:rPr>
                  </w:pPr>
                  <w:r w:rsidRPr="00C103E8">
                    <w:rPr>
                      <w:rFonts w:asciiTheme="majorHAnsi" w:hAnsiTheme="majorHAnsi" w:cs="Arial"/>
                      <w:b/>
                      <w:sz w:val="24"/>
                      <w:szCs w:val="24"/>
                    </w:rPr>
                    <w:object w:dxaOrig="1311" w:dyaOrig="849" w14:anchorId="591848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1pt;height:41.95pt" o:ole="">
                        <v:imagedata r:id="rId17" o:title=""/>
                      </v:shape>
                      <o:OLEObject Type="Embed" ProgID="AcroExch.Document.DC" ShapeID="_x0000_i1026" DrawAspect="Icon" ObjectID="_1741007264" r:id="rId18"/>
                    </w:object>
                  </w:r>
                </w:p>
                <w:p w14:paraId="39F82EC2" w14:textId="6FCF169E" w:rsidR="000C3D21" w:rsidRDefault="000C3D21" w:rsidP="002C6C63">
                  <w:pPr>
                    <w:spacing w:before="150" w:after="150" w:line="276" w:lineRule="auto"/>
                    <w:rPr>
                      <w:rFonts w:asciiTheme="majorHAnsi" w:hAnsiTheme="majorHAnsi"/>
                      <w:sz w:val="24"/>
                      <w:szCs w:val="24"/>
                    </w:rPr>
                  </w:pPr>
                </w:p>
                <w:tbl>
                  <w:tblPr>
                    <w:tblpPr w:leftFromText="45" w:rightFromText="45" w:vertAnchor="text"/>
                    <w:tblOverlap w:val="never"/>
                    <w:tblW w:w="9103" w:type="dxa"/>
                    <w:tblCellMar>
                      <w:left w:w="0" w:type="dxa"/>
                      <w:right w:w="0" w:type="dxa"/>
                    </w:tblCellMar>
                    <w:tblLook w:val="04A0" w:firstRow="1" w:lastRow="0" w:firstColumn="1" w:lastColumn="0" w:noHBand="0" w:noVBand="1"/>
                  </w:tblPr>
                  <w:tblGrid>
                    <w:gridCol w:w="9103"/>
                  </w:tblGrid>
                  <w:tr w:rsidR="000C3D21" w:rsidRPr="002F6C1E" w14:paraId="7FF3BA57" w14:textId="77777777">
                    <w:trPr>
                      <w:trHeight w:val="4749"/>
                    </w:trPr>
                    <w:tc>
                      <w:tcPr>
                        <w:tcW w:w="5000" w:type="pct"/>
                        <w:tcBorders>
                          <w:top w:val="single" w:sz="4" w:space="0" w:color="auto"/>
                        </w:tcBorders>
                        <w:tcMar>
                          <w:top w:w="0" w:type="dxa"/>
                          <w:left w:w="270" w:type="dxa"/>
                          <w:bottom w:w="135" w:type="dxa"/>
                          <w:right w:w="270" w:type="dxa"/>
                        </w:tcMar>
                      </w:tcPr>
                      <w:p w14:paraId="3F03F33A" w14:textId="77777777" w:rsidR="000C3D21" w:rsidRDefault="000C3D21" w:rsidP="000C3D21">
                        <w:pPr>
                          <w:rPr>
                            <w:rFonts w:asciiTheme="majorHAnsi" w:hAnsiTheme="majorHAnsi" w:cs="Helvetica"/>
                            <w:b/>
                            <w:bCs/>
                            <w:color w:val="00A499"/>
                            <w:sz w:val="32"/>
                            <w:szCs w:val="32"/>
                          </w:rPr>
                        </w:pPr>
                        <w:bookmarkStart w:id="5" w:name="Story6"/>
                        <w:r>
                          <w:rPr>
                            <w:rFonts w:asciiTheme="majorHAnsi" w:hAnsiTheme="majorHAnsi" w:cs="Helvetica"/>
                            <w:b/>
                            <w:bCs/>
                            <w:color w:val="00A499"/>
                            <w:sz w:val="32"/>
                            <w:szCs w:val="32"/>
                          </w:rPr>
                          <w:lastRenderedPageBreak/>
                          <w:t xml:space="preserve">MDI to DPI Switch </w:t>
                        </w:r>
                      </w:p>
                      <w:bookmarkEnd w:id="5"/>
                      <w:p w14:paraId="1596C94C" w14:textId="5F5C88AA" w:rsidR="000C3D21" w:rsidRPr="006A06A2" w:rsidRDefault="000C3D21" w:rsidP="000C3D21">
                        <w:pPr>
                          <w:spacing w:line="312" w:lineRule="auto"/>
                          <w:rPr>
                            <w:rFonts w:asciiTheme="majorHAnsi" w:eastAsia="Times New Roman" w:hAnsiTheme="majorHAnsi"/>
                          </w:rPr>
                        </w:pPr>
                        <w:r w:rsidRPr="002F6C1E">
                          <w:rPr>
                            <w:rFonts w:asciiTheme="majorHAnsi" w:hAnsiTheme="majorHAnsi"/>
                          </w:rPr>
                          <w:t xml:space="preserve">Some practices have had complaints from patients about a change in their inhalers.  As per National guidance there is a move away from metered dose inhalers (MDI) and a move towards dry powder inhalers (DPI). </w:t>
                        </w:r>
                        <w:r w:rsidR="006A06A2" w:rsidRPr="006A06A2">
                          <w:rPr>
                            <w:rFonts w:asciiTheme="majorHAnsi" w:hAnsiTheme="majorHAnsi"/>
                          </w:rPr>
                          <w:t>The switch may not be suitable for all patients, particularly those with COPD who may not have the inspiratory flow to trigger a dry powder inhaler.</w:t>
                        </w:r>
                      </w:p>
                      <w:p w14:paraId="54B51830" w14:textId="127B318F" w:rsidR="000C3D21" w:rsidRPr="002F6C1E" w:rsidRDefault="000C3D21" w:rsidP="000C3D21">
                        <w:pPr>
                          <w:spacing w:line="312" w:lineRule="auto"/>
                          <w:rPr>
                            <w:rFonts w:asciiTheme="majorHAnsi" w:hAnsiTheme="majorHAnsi"/>
                          </w:rPr>
                        </w:pPr>
                        <w:r w:rsidRPr="002F6C1E">
                          <w:rPr>
                            <w:rFonts w:asciiTheme="majorHAnsi" w:hAnsiTheme="majorHAnsi"/>
                          </w:rPr>
                          <w:t>The reason for the change in suitable patients is twofold:</w:t>
                        </w:r>
                      </w:p>
                      <w:p w14:paraId="426DD064" w14:textId="77777777" w:rsidR="000C3D21" w:rsidRPr="002F6C1E" w:rsidRDefault="000C3D21" w:rsidP="000C3D21">
                        <w:pPr>
                          <w:numPr>
                            <w:ilvl w:val="0"/>
                            <w:numId w:val="24"/>
                          </w:numPr>
                          <w:spacing w:line="312" w:lineRule="auto"/>
                          <w:rPr>
                            <w:rFonts w:asciiTheme="majorHAnsi" w:eastAsia="Times New Roman" w:hAnsiTheme="majorHAnsi"/>
                          </w:rPr>
                        </w:pPr>
                        <w:r w:rsidRPr="002F6C1E">
                          <w:rPr>
                            <w:rFonts w:asciiTheme="majorHAnsi" w:eastAsia="Times New Roman" w:hAnsiTheme="majorHAnsi"/>
                          </w:rPr>
                          <w:t>Metered dose inhalers contain many propellants which are not kind to the environment. Changing to a dry powder inhaler vastly reduces the carbon footprint.</w:t>
                        </w:r>
                      </w:p>
                      <w:p w14:paraId="09E055D6" w14:textId="468AC0E3" w:rsidR="000C3D21" w:rsidRPr="002F6C1E" w:rsidRDefault="000C3D21" w:rsidP="000C3D21">
                        <w:pPr>
                          <w:numPr>
                            <w:ilvl w:val="0"/>
                            <w:numId w:val="24"/>
                          </w:numPr>
                          <w:spacing w:line="312" w:lineRule="auto"/>
                          <w:rPr>
                            <w:rFonts w:asciiTheme="majorHAnsi" w:eastAsia="Times New Roman" w:hAnsiTheme="majorHAnsi"/>
                          </w:rPr>
                        </w:pPr>
                        <w:r w:rsidRPr="002F6C1E">
                          <w:rPr>
                            <w:rFonts w:asciiTheme="majorHAnsi" w:eastAsia="Times New Roman" w:hAnsiTheme="majorHAnsi"/>
                          </w:rPr>
                          <w:t xml:space="preserve">Clinical evidence shows that only between 10-25% of patients using a metered dose inhaler </w:t>
                        </w:r>
                        <w:r w:rsidR="00F72708" w:rsidRPr="002F6C1E">
                          <w:rPr>
                            <w:rFonts w:asciiTheme="majorHAnsi" w:eastAsia="Times New Roman" w:hAnsiTheme="majorHAnsi"/>
                          </w:rPr>
                          <w:t>can</w:t>
                        </w:r>
                        <w:r w:rsidRPr="002F6C1E">
                          <w:rPr>
                            <w:rFonts w:asciiTheme="majorHAnsi" w:eastAsia="Times New Roman" w:hAnsiTheme="majorHAnsi"/>
                          </w:rPr>
                          <w:t xml:space="preserve"> demonstrate the correct inhaler technique, and therefore many doses are wasted and will not have the clinical efficacy for patients.  Dry powder inhalers are much simpler to use.</w:t>
                        </w:r>
                      </w:p>
                      <w:p w14:paraId="7E49AD7C" w14:textId="77777777" w:rsidR="000C3D21" w:rsidRPr="002F6C1E" w:rsidRDefault="000C3D21" w:rsidP="002C6C63">
                        <w:pPr>
                          <w:spacing w:line="312" w:lineRule="auto"/>
                          <w:ind w:left="360"/>
                          <w:rPr>
                            <w:rFonts w:asciiTheme="majorHAnsi" w:eastAsia="Times New Roman" w:hAnsiTheme="majorHAnsi"/>
                          </w:rPr>
                        </w:pPr>
                      </w:p>
                      <w:p w14:paraId="6B915778" w14:textId="0603EB0A" w:rsidR="000C3D21" w:rsidRPr="002F6C1E" w:rsidRDefault="000C3D21" w:rsidP="000C3D21">
                        <w:pPr>
                          <w:spacing w:line="312" w:lineRule="auto"/>
                          <w:rPr>
                            <w:rFonts w:asciiTheme="majorHAnsi" w:hAnsiTheme="majorHAnsi"/>
                          </w:rPr>
                        </w:pPr>
                        <w:r w:rsidRPr="002F6C1E">
                          <w:rPr>
                            <w:rFonts w:asciiTheme="majorHAnsi" w:hAnsiTheme="majorHAnsi"/>
                          </w:rPr>
                          <w:t>To clarify, these dry powder inhalers are NOT cheaper than the original metered dose inhalers, and in many cases are slightly more expensive. Also, patient</w:t>
                        </w:r>
                        <w:r w:rsidR="006A06A2">
                          <w:rPr>
                            <w:rFonts w:asciiTheme="majorHAnsi" w:hAnsiTheme="majorHAnsi"/>
                          </w:rPr>
                          <w:t>s</w:t>
                        </w:r>
                        <w:r w:rsidRPr="002F6C1E">
                          <w:rPr>
                            <w:rFonts w:asciiTheme="majorHAnsi" w:hAnsiTheme="majorHAnsi"/>
                          </w:rPr>
                          <w:t xml:space="preserve"> should be given new inhaler technique training</w:t>
                        </w:r>
                        <w:r w:rsidR="006A06A2">
                          <w:rPr>
                            <w:rFonts w:asciiTheme="majorHAnsi" w:hAnsiTheme="majorHAnsi"/>
                          </w:rPr>
                          <w:t xml:space="preserve"> before switching</w:t>
                        </w:r>
                        <w:r w:rsidRPr="002F6C1E">
                          <w:rPr>
                            <w:rFonts w:asciiTheme="majorHAnsi" w:hAnsiTheme="majorHAnsi"/>
                          </w:rPr>
                          <w:t>.</w:t>
                        </w:r>
                      </w:p>
                      <w:p w14:paraId="378E7E4F" w14:textId="3E7F0179" w:rsidR="000C3D21" w:rsidRPr="002F6C1E" w:rsidRDefault="000C3D21" w:rsidP="000C3D21">
                        <w:pPr>
                          <w:spacing w:line="312" w:lineRule="auto"/>
                          <w:rPr>
                            <w:rFonts w:asciiTheme="majorHAnsi" w:hAnsiTheme="majorHAnsi"/>
                          </w:rPr>
                        </w:pPr>
                        <w:r w:rsidRPr="002F6C1E">
                          <w:rPr>
                            <w:rFonts w:asciiTheme="majorHAnsi" w:hAnsiTheme="majorHAnsi"/>
                          </w:rPr>
                          <w:t xml:space="preserve">Below is a link to the correct inhaler techniques for a Salbutamol </w:t>
                        </w:r>
                        <w:proofErr w:type="spellStart"/>
                        <w:r w:rsidRPr="002F6C1E">
                          <w:rPr>
                            <w:rFonts w:asciiTheme="majorHAnsi" w:hAnsiTheme="majorHAnsi"/>
                          </w:rPr>
                          <w:t>Easyhaler</w:t>
                        </w:r>
                        <w:proofErr w:type="spellEnd"/>
                        <w:r w:rsidR="00976D27" w:rsidRPr="00976D27">
                          <w:rPr>
                            <w:rFonts w:asciiTheme="majorHAnsi" w:hAnsiTheme="majorHAnsi"/>
                            <w:vertAlign w:val="superscript"/>
                          </w:rPr>
                          <w:t>®</w:t>
                        </w:r>
                        <w:r w:rsidRPr="00976D27">
                          <w:rPr>
                            <w:rFonts w:asciiTheme="majorHAnsi" w:hAnsiTheme="majorHAnsi"/>
                            <w:vertAlign w:val="superscript"/>
                          </w:rPr>
                          <w:t xml:space="preserve"> </w:t>
                        </w:r>
                        <w:r w:rsidRPr="002F6C1E">
                          <w:rPr>
                            <w:rFonts w:asciiTheme="majorHAnsi" w:hAnsiTheme="majorHAnsi"/>
                          </w:rPr>
                          <w:t>and a leaflet that may be useful for explaining this change to patients:</w:t>
                        </w:r>
                      </w:p>
                      <w:p w14:paraId="70906EF8" w14:textId="77777777" w:rsidR="000C3D21" w:rsidRDefault="000C3D21" w:rsidP="000C3D21">
                        <w:r>
                          <w:rPr>
                            <w:noProof/>
                          </w:rPr>
                          <w:drawing>
                            <wp:inline distT="0" distB="0" distL="0" distR="0" wp14:anchorId="444097C3" wp14:editId="4D39E51A">
                              <wp:extent cx="5416150" cy="3225846"/>
                              <wp:effectExtent l="0" t="0" r="7620" b="0"/>
                              <wp:docPr id="5" name="Picture 5"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website&#10;&#10;Description automatically generated"/>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416150" cy="3225846"/>
                                      </a:xfrm>
                                      <a:prstGeom prst="rect">
                                        <a:avLst/>
                                      </a:prstGeom>
                                      <a:noFill/>
                                      <a:ln>
                                        <a:noFill/>
                                      </a:ln>
                                    </pic:spPr>
                                  </pic:pic>
                                </a:graphicData>
                              </a:graphic>
                            </wp:inline>
                          </w:drawing>
                        </w:r>
                      </w:p>
                      <w:p w14:paraId="6FFE0ADD" w14:textId="77777777" w:rsidR="000C3D21" w:rsidRPr="002F6C1E" w:rsidRDefault="000C3D21" w:rsidP="000C3D21">
                        <w:hyperlink r:id="rId21" w:history="1">
                          <w:proofErr w:type="spellStart"/>
                          <w:r>
                            <w:rPr>
                              <w:rStyle w:val="Hyperlink"/>
                            </w:rPr>
                            <w:t>Easyh</w:t>
                          </w:r>
                          <w:r w:rsidRPr="00D11F36">
                            <w:rPr>
                              <w:rStyle w:val="Hyperlink"/>
                              <w:sz w:val="20"/>
                              <w:szCs w:val="20"/>
                            </w:rPr>
                            <w:t>aler</w:t>
                          </w:r>
                          <w:proofErr w:type="spellEnd"/>
                          <w:r w:rsidRPr="00D11F36">
                            <w:rPr>
                              <w:rStyle w:val="Hyperlink"/>
                              <w:sz w:val="20"/>
                              <w:szCs w:val="20"/>
                            </w:rPr>
                            <w:t xml:space="preserve"> Salbutamol </w:t>
                          </w:r>
                          <w:proofErr w:type="spellStart"/>
                          <w:r w:rsidRPr="00D11F36">
                            <w:rPr>
                              <w:rStyle w:val="Hyperlink"/>
                              <w:sz w:val="20"/>
                              <w:szCs w:val="20"/>
                            </w:rPr>
                            <w:t>sulfate</w:t>
                          </w:r>
                          <w:proofErr w:type="spellEnd"/>
                          <w:r w:rsidRPr="00D11F36">
                            <w:rPr>
                              <w:rStyle w:val="Hyperlink"/>
                              <w:sz w:val="20"/>
                              <w:szCs w:val="20"/>
                            </w:rPr>
                            <w:t xml:space="preserve"> 100micrograms/dose dry powder inhaler (Orion Pharma (UK) Ltd) 200 dose - </w:t>
                          </w:r>
                          <w:proofErr w:type="spellStart"/>
                          <w:r w:rsidRPr="00D11F36">
                            <w:rPr>
                              <w:rStyle w:val="Hyperlink"/>
                              <w:sz w:val="20"/>
                              <w:szCs w:val="20"/>
                            </w:rPr>
                            <w:t>RightBreathe</w:t>
                          </w:r>
                          <w:proofErr w:type="spellEnd"/>
                        </w:hyperlink>
                      </w:p>
                    </w:tc>
                  </w:tr>
                  <w:tr w:rsidR="00C349F2" w:rsidRPr="00C103E8" w14:paraId="625E34C3" w14:textId="77777777" w:rsidTr="00C103E8">
                    <w:trPr>
                      <w:trHeight w:val="145"/>
                    </w:trPr>
                    <w:tc>
                      <w:tcPr>
                        <w:tcW w:w="5000" w:type="pct"/>
                        <w:tcBorders>
                          <w:top w:val="nil"/>
                          <w:bottom w:val="single" w:sz="4" w:space="0" w:color="auto"/>
                        </w:tcBorders>
                        <w:tcMar>
                          <w:top w:w="0" w:type="dxa"/>
                          <w:left w:w="270" w:type="dxa"/>
                          <w:bottom w:w="135" w:type="dxa"/>
                          <w:right w:w="270" w:type="dxa"/>
                        </w:tcMar>
                        <w:hideMark/>
                      </w:tcPr>
                      <w:p w14:paraId="43E4A424" w14:textId="3402342B" w:rsidR="00E03396" w:rsidRPr="00C103E8" w:rsidRDefault="00BF718D" w:rsidP="00E03396">
                        <w:pPr>
                          <w:spacing w:before="150" w:after="150" w:line="276" w:lineRule="auto"/>
                          <w:rPr>
                            <w:rFonts w:asciiTheme="majorHAnsi" w:eastAsia="Times New Roman" w:hAnsiTheme="majorHAnsi" w:cstheme="minorHAnsi"/>
                            <w:b/>
                            <w:bCs/>
                            <w:color w:val="00A499"/>
                            <w:sz w:val="32"/>
                            <w:szCs w:val="32"/>
                          </w:rPr>
                        </w:pPr>
                        <w:bookmarkStart w:id="6" w:name="andso"/>
                        <w:bookmarkStart w:id="7" w:name="Story7"/>
                        <w:r w:rsidRPr="00C103E8">
                          <w:rPr>
                            <w:rFonts w:asciiTheme="majorHAnsi" w:eastAsia="Times New Roman" w:hAnsiTheme="majorHAnsi" w:cstheme="minorHAnsi"/>
                            <w:b/>
                            <w:bCs/>
                            <w:color w:val="00A499"/>
                            <w:sz w:val="32"/>
                            <w:szCs w:val="32"/>
                          </w:rPr>
                          <w:lastRenderedPageBreak/>
                          <w:t>M</w:t>
                        </w:r>
                        <w:r w:rsidR="00E03396" w:rsidRPr="00C103E8">
                          <w:rPr>
                            <w:rFonts w:asciiTheme="majorHAnsi" w:eastAsia="Times New Roman" w:hAnsiTheme="majorHAnsi" w:cstheme="minorHAnsi"/>
                            <w:b/>
                            <w:bCs/>
                            <w:color w:val="00A499"/>
                            <w:sz w:val="32"/>
                            <w:szCs w:val="32"/>
                          </w:rPr>
                          <w:t xml:space="preserve">HRA </w:t>
                        </w:r>
                        <w:bookmarkEnd w:id="6"/>
                        <w:r w:rsidR="00E03396" w:rsidRPr="00C103E8">
                          <w:rPr>
                            <w:rFonts w:asciiTheme="majorHAnsi" w:eastAsia="Times New Roman" w:hAnsiTheme="majorHAnsi" w:cstheme="minorHAnsi"/>
                            <w:b/>
                            <w:bCs/>
                            <w:color w:val="00A499"/>
                            <w:sz w:val="32"/>
                            <w:szCs w:val="32"/>
                          </w:rPr>
                          <w:t xml:space="preserve">Metolazone Drug Safety Update </w:t>
                        </w:r>
                      </w:p>
                      <w:bookmarkEnd w:id="7"/>
                      <w:p w14:paraId="75A5B18C" w14:textId="77777777" w:rsidR="00E03396" w:rsidRPr="00C103E8" w:rsidRDefault="00E03396" w:rsidP="00E03396">
                        <w:pPr>
                          <w:spacing w:line="360" w:lineRule="auto"/>
                          <w:rPr>
                            <w:rFonts w:asciiTheme="majorHAnsi" w:hAnsiTheme="majorHAnsi"/>
                            <w:sz w:val="24"/>
                            <w:szCs w:val="24"/>
                          </w:rPr>
                        </w:pPr>
                        <w:r w:rsidRPr="00C103E8">
                          <w:rPr>
                            <w:rFonts w:asciiTheme="majorHAnsi" w:hAnsiTheme="majorHAnsi"/>
                            <w:sz w:val="24"/>
                            <w:szCs w:val="24"/>
                          </w:rPr>
                          <w:t xml:space="preserve">Following the publication of an article on the safety of Metolazone in the January 2023 newsletter, the MHRA have released a drug safety update on </w:t>
                        </w:r>
                        <w:proofErr w:type="spellStart"/>
                        <w:r w:rsidRPr="00C103E8">
                          <w:rPr>
                            <w:rFonts w:asciiTheme="majorHAnsi" w:hAnsiTheme="majorHAnsi"/>
                            <w:sz w:val="24"/>
                            <w:szCs w:val="24"/>
                          </w:rPr>
                          <w:t>Xaqua</w:t>
                        </w:r>
                        <w:proofErr w:type="spellEnd"/>
                        <w:r w:rsidRPr="00976D27">
                          <w:rPr>
                            <w:rFonts w:asciiTheme="majorHAnsi" w:hAnsiTheme="majorHAnsi"/>
                            <w:sz w:val="24"/>
                            <w:szCs w:val="24"/>
                            <w:vertAlign w:val="superscript"/>
                          </w:rPr>
                          <w:t>®</w:t>
                        </w:r>
                        <w:r w:rsidRPr="00C103E8">
                          <w:rPr>
                            <w:rFonts w:asciiTheme="majorHAnsi" w:hAnsiTheme="majorHAnsi"/>
                            <w:sz w:val="24"/>
                            <w:szCs w:val="24"/>
                          </w:rPr>
                          <w:t xml:space="preserve"> (Metolazone) 5mg tablets. The advice given to prescribers and dispensers is to exercise caution when switching patients between Metolazone preparations, as the rate and extent of absorption of metolazone are formulation dependent and can impact the bioavailability of the product.</w:t>
                        </w:r>
                      </w:p>
                      <w:p w14:paraId="76F0F735" w14:textId="534D38D6" w:rsidR="00E03396" w:rsidRDefault="00E03396" w:rsidP="006A06A2">
                        <w:pPr>
                          <w:spacing w:line="360" w:lineRule="auto"/>
                          <w:rPr>
                            <w:rFonts w:asciiTheme="majorHAnsi" w:hAnsiTheme="majorHAnsi"/>
                            <w:sz w:val="24"/>
                            <w:szCs w:val="24"/>
                          </w:rPr>
                        </w:pPr>
                        <w:r w:rsidRPr="00C103E8">
                          <w:rPr>
                            <w:rFonts w:asciiTheme="majorHAnsi" w:hAnsiTheme="majorHAnsi"/>
                            <w:sz w:val="24"/>
                            <w:szCs w:val="24"/>
                          </w:rPr>
                          <w:t xml:space="preserve">The MHRA Drug Safety Update provides useful advice including on dosage adjustment if switching brands, and can be accessed </w:t>
                        </w:r>
                        <w:hyperlink r:id="rId22" w:history="1">
                          <w:r w:rsidRPr="00C103E8">
                            <w:rPr>
                              <w:rStyle w:val="Hyperlink"/>
                              <w:rFonts w:asciiTheme="majorHAnsi" w:hAnsiTheme="majorHAnsi"/>
                              <w:sz w:val="24"/>
                              <w:szCs w:val="24"/>
                            </w:rPr>
                            <w:t>here</w:t>
                          </w:r>
                        </w:hyperlink>
                        <w:r w:rsidRPr="00C103E8">
                          <w:rPr>
                            <w:rFonts w:asciiTheme="majorHAnsi" w:hAnsiTheme="majorHAnsi"/>
                            <w:sz w:val="24"/>
                            <w:szCs w:val="24"/>
                          </w:rPr>
                          <w:t xml:space="preserve">. </w:t>
                        </w:r>
                      </w:p>
                      <w:p w14:paraId="52FD8182" w14:textId="5C9677EF" w:rsidR="00C349F2" w:rsidRPr="00C103E8" w:rsidRDefault="00520079" w:rsidP="00520079">
                        <w:pPr>
                          <w:spacing w:line="360" w:lineRule="auto"/>
                          <w:rPr>
                            <w:rFonts w:asciiTheme="majorHAnsi" w:hAnsiTheme="majorHAnsi" w:cs="Helvetica"/>
                            <w:i/>
                            <w:iCs/>
                            <w:sz w:val="24"/>
                            <w:szCs w:val="24"/>
                          </w:rPr>
                        </w:pPr>
                        <w:r w:rsidRPr="00520079">
                          <w:rPr>
                            <w:rFonts w:asciiTheme="majorHAnsi" w:hAnsiTheme="majorHAnsi"/>
                            <w:b/>
                            <w:bCs/>
                            <w:u w:val="single"/>
                          </w:rPr>
                          <w:t>Actions for Prescribers</w:t>
                        </w:r>
                        <w:r>
                          <w:rPr>
                            <w:rFonts w:asciiTheme="majorHAnsi" w:hAnsiTheme="majorHAnsi"/>
                            <w:sz w:val="24"/>
                            <w:szCs w:val="24"/>
                          </w:rPr>
                          <w:t xml:space="preserve">: </w:t>
                        </w:r>
                        <w:r w:rsidRPr="00520079">
                          <w:rPr>
                            <w:rFonts w:asciiTheme="majorHAnsi" w:hAnsiTheme="majorHAnsi" w:cs="Arial"/>
                            <w:color w:val="000000"/>
                            <w:shd w:val="clear" w:color="auto" w:fill="FFFFFF"/>
                          </w:rPr>
                          <w:t>Clinicians should use caution when prescribing as </w:t>
                        </w:r>
                        <w:proofErr w:type="spellStart"/>
                        <w:r w:rsidRPr="00520079">
                          <w:rPr>
                            <w:rFonts w:asciiTheme="majorHAnsi" w:hAnsiTheme="majorHAnsi" w:cs="Arial"/>
                            <w:color w:val="000000"/>
                            <w:shd w:val="clear" w:color="auto" w:fill="FFFFFF"/>
                          </w:rPr>
                          <w:t>Xaqua</w:t>
                        </w:r>
                        <w:proofErr w:type="spellEnd"/>
                        <w:r w:rsidRPr="00520079">
                          <w:rPr>
                            <w:rFonts w:asciiTheme="majorHAnsi" w:hAnsiTheme="majorHAnsi" w:cs="Arial"/>
                            <w:color w:val="000000"/>
                            <w:shd w:val="clear" w:color="auto" w:fill="FFFFFF"/>
                          </w:rPr>
                          <w:t>® requires specialist input to switch to safely</w:t>
                        </w:r>
                        <w:r>
                          <w:rPr>
                            <w:rFonts w:asciiTheme="majorHAnsi" w:hAnsiTheme="majorHAnsi" w:cs="Arial"/>
                            <w:color w:val="000000"/>
                            <w:shd w:val="clear" w:color="auto" w:fill="FFFFFF"/>
                          </w:rPr>
                          <w:t xml:space="preserve"> as it </w:t>
                        </w:r>
                        <w:r w:rsidRPr="00520079">
                          <w:rPr>
                            <w:rFonts w:asciiTheme="majorHAnsi" w:hAnsiTheme="majorHAnsi" w:cs="Arial"/>
                            <w:color w:val="000000"/>
                            <w:shd w:val="clear" w:color="auto" w:fill="FFFFFF"/>
                          </w:rPr>
                          <w:t>m</w:t>
                        </w:r>
                        <w:r w:rsidRPr="00520079">
                          <w:rPr>
                            <w:rFonts w:asciiTheme="majorHAnsi" w:hAnsiTheme="majorHAnsi" w:cs="Arial"/>
                            <w:color w:val="000000"/>
                            <w:shd w:val="clear" w:color="auto" w:fill="FFFFFF"/>
                          </w:rPr>
                          <w:t>ay be up to </w:t>
                        </w:r>
                        <w:r w:rsidRPr="00520079">
                          <w:rPr>
                            <w:rStyle w:val="Strong"/>
                            <w:rFonts w:asciiTheme="majorHAnsi" w:hAnsiTheme="majorHAnsi" w:cs="Arial"/>
                            <w:color w:val="000000"/>
                            <w:shd w:val="clear" w:color="auto" w:fill="FFFFFF"/>
                          </w:rPr>
                          <w:t>TWICE AS POTENT</w:t>
                        </w:r>
                        <w:r w:rsidRPr="00520079">
                          <w:rPr>
                            <w:rFonts w:asciiTheme="majorHAnsi" w:hAnsiTheme="majorHAnsi" w:cs="Arial"/>
                            <w:color w:val="000000"/>
                            <w:shd w:val="clear" w:color="auto" w:fill="FFFFFF"/>
                          </w:rPr>
                          <w:t> as other unlicensed metolazone preparations</w:t>
                        </w:r>
                      </w:p>
                    </w:tc>
                  </w:tr>
                  <w:tr w:rsidR="001149B2" w:rsidRPr="00C103E8" w14:paraId="52A58693" w14:textId="77777777" w:rsidTr="00C103E8">
                    <w:trPr>
                      <w:trHeight w:val="2359"/>
                    </w:trPr>
                    <w:tc>
                      <w:tcPr>
                        <w:tcW w:w="5000" w:type="pct"/>
                        <w:tcBorders>
                          <w:top w:val="single" w:sz="4" w:space="0" w:color="auto"/>
                          <w:bottom w:val="single" w:sz="4" w:space="0" w:color="auto"/>
                        </w:tcBorders>
                        <w:tcMar>
                          <w:top w:w="0" w:type="dxa"/>
                          <w:left w:w="270" w:type="dxa"/>
                          <w:bottom w:w="135" w:type="dxa"/>
                          <w:right w:w="270" w:type="dxa"/>
                        </w:tcMar>
                      </w:tcPr>
                      <w:p w14:paraId="417E70F1" w14:textId="77777777" w:rsidR="0071133F" w:rsidRPr="00C103E8" w:rsidRDefault="00A72DB0" w:rsidP="00DF6663">
                        <w:pPr>
                          <w:spacing w:before="150" w:after="150" w:line="360" w:lineRule="auto"/>
                          <w:rPr>
                            <w:rFonts w:asciiTheme="majorHAnsi" w:hAnsiTheme="majorHAnsi" w:cs="Helvetica"/>
                            <w:b/>
                            <w:bCs/>
                            <w:color w:val="00A499"/>
                            <w:sz w:val="32"/>
                            <w:szCs w:val="32"/>
                          </w:rPr>
                        </w:pPr>
                        <w:bookmarkStart w:id="8" w:name="Story8"/>
                        <w:r w:rsidRPr="00C103E8">
                          <w:rPr>
                            <w:rFonts w:asciiTheme="majorHAnsi" w:hAnsiTheme="majorHAnsi" w:cs="Helvetica"/>
                            <w:b/>
                            <w:bCs/>
                            <w:color w:val="00A499"/>
                            <w:sz w:val="32"/>
                            <w:szCs w:val="32"/>
                          </w:rPr>
                          <w:t xml:space="preserve">Clinical Fellow Scheme </w:t>
                        </w:r>
                      </w:p>
                      <w:bookmarkEnd w:id="8"/>
                      <w:p w14:paraId="621945B2" w14:textId="77777777" w:rsidR="00A72DB0" w:rsidRPr="00C103E8" w:rsidRDefault="00A72DB0" w:rsidP="00A72DB0">
                        <w:pPr>
                          <w:spacing w:before="150" w:after="150" w:line="360" w:lineRule="auto"/>
                          <w:rPr>
                            <w:rFonts w:asciiTheme="majorHAnsi" w:hAnsiTheme="majorHAnsi" w:cs="Helvetica"/>
                            <w:color w:val="202020"/>
                            <w:sz w:val="24"/>
                            <w:szCs w:val="24"/>
                          </w:rPr>
                        </w:pPr>
                        <w:r w:rsidRPr="00C103E8">
                          <w:rPr>
                            <w:rFonts w:asciiTheme="majorHAnsi" w:hAnsiTheme="majorHAnsi" w:cs="Helvetica"/>
                            <w:color w:val="202020"/>
                            <w:sz w:val="24"/>
                            <w:szCs w:val="24"/>
                          </w:rPr>
                          <w:t>An exciting opportunity to play a leading part in developing a greener NHS is on offer through the Chief Sustainability Officer’s Clinical Fellow Scheme.</w:t>
                        </w:r>
                      </w:p>
                      <w:p w14:paraId="7E93A7FC" w14:textId="77777777" w:rsidR="00A72DB0" w:rsidRPr="00C103E8" w:rsidRDefault="00A72DB0" w:rsidP="00A72DB0">
                        <w:pPr>
                          <w:spacing w:before="150" w:after="150" w:line="360" w:lineRule="auto"/>
                          <w:rPr>
                            <w:rFonts w:asciiTheme="majorHAnsi" w:hAnsiTheme="majorHAnsi" w:cs="Helvetica"/>
                            <w:color w:val="202020"/>
                            <w:sz w:val="24"/>
                            <w:szCs w:val="24"/>
                          </w:rPr>
                        </w:pPr>
                        <w:r w:rsidRPr="00C103E8">
                          <w:rPr>
                            <w:rFonts w:asciiTheme="majorHAnsi" w:hAnsiTheme="majorHAnsi" w:cs="Helvetica"/>
                            <w:color w:val="202020"/>
                            <w:sz w:val="24"/>
                            <w:szCs w:val="24"/>
                          </w:rPr>
                          <w:t>Successful candidates will work directly with the most senior leaders in the NHS, helping to embed net zero carbon principles in the delivery of care across the healthcare system.</w:t>
                        </w:r>
                      </w:p>
                      <w:p w14:paraId="01A06516" w14:textId="77777777" w:rsidR="00A72DB0" w:rsidRPr="00C103E8" w:rsidRDefault="00A72DB0" w:rsidP="00A72DB0">
                        <w:pPr>
                          <w:spacing w:before="150" w:after="150" w:line="360" w:lineRule="auto"/>
                          <w:rPr>
                            <w:rFonts w:asciiTheme="majorHAnsi" w:hAnsiTheme="majorHAnsi" w:cs="Helvetica"/>
                            <w:color w:val="202020"/>
                            <w:sz w:val="24"/>
                            <w:szCs w:val="24"/>
                          </w:rPr>
                        </w:pPr>
                        <w:r w:rsidRPr="00C103E8">
                          <w:rPr>
                            <w:rFonts w:asciiTheme="majorHAnsi" w:hAnsiTheme="majorHAnsi" w:cs="Helvetica"/>
                            <w:color w:val="202020"/>
                            <w:sz w:val="24"/>
                            <w:szCs w:val="24"/>
                          </w:rPr>
                          <w:t xml:space="preserve">The scheme is open to allied health professionals, dentists, doctors in training including public health specialist registrar trainees, GPs, healthcare scientists, nurses, midwives, and pharmacists that meet the eligibility requirements. Closing date for applications is 5pm on </w:t>
                        </w:r>
                        <w:r w:rsidRPr="00C103E8">
                          <w:rPr>
                            <w:rStyle w:val="Strong"/>
                            <w:rFonts w:asciiTheme="majorHAnsi" w:hAnsiTheme="majorHAnsi"/>
                            <w:color w:val="202020"/>
                            <w:sz w:val="24"/>
                            <w:szCs w:val="24"/>
                          </w:rPr>
                          <w:t>Wednesday, 29 March.</w:t>
                        </w:r>
                      </w:p>
                      <w:p w14:paraId="0BFBB6EE" w14:textId="46C53D3D" w:rsidR="005266E6" w:rsidRPr="00C103E8" w:rsidRDefault="00A72DB0" w:rsidP="00A72DB0">
                        <w:pPr>
                          <w:spacing w:before="150" w:after="150" w:line="360" w:lineRule="auto"/>
                          <w:rPr>
                            <w:rFonts w:asciiTheme="majorHAnsi" w:hAnsiTheme="majorHAnsi"/>
                            <w:i/>
                            <w:iCs/>
                            <w:color w:val="202020"/>
                            <w:sz w:val="24"/>
                            <w:szCs w:val="24"/>
                          </w:rPr>
                        </w:pPr>
                        <w:r w:rsidRPr="00C103E8">
                          <w:rPr>
                            <w:rFonts w:asciiTheme="majorHAnsi" w:hAnsiTheme="majorHAnsi"/>
                            <w:color w:val="202020"/>
                            <w:sz w:val="24"/>
                            <w:szCs w:val="24"/>
                          </w:rPr>
                          <w:t>More information, including eligibility criteria</w:t>
                        </w:r>
                        <w:r w:rsidRPr="00C103E8">
                          <w:rPr>
                            <w:rStyle w:val="Emphasis"/>
                            <w:rFonts w:asciiTheme="majorHAnsi" w:hAnsiTheme="majorHAnsi"/>
                            <w:color w:val="202020"/>
                            <w:sz w:val="24"/>
                            <w:szCs w:val="24"/>
                          </w:rPr>
                          <w:t xml:space="preserve">, </w:t>
                        </w:r>
                        <w:hyperlink r:id="rId23" w:tgtFrame="_blank" w:tooltip="https://www.fmlm.ac.uk/clinical-fellow-schemes/chief-sustainability-officer%e2%80%99s-clinical-fellow-scheme" w:history="1">
                          <w:r w:rsidRPr="00C103E8">
                            <w:rPr>
                              <w:rStyle w:val="Hyperlink"/>
                              <w:rFonts w:asciiTheme="majorHAnsi" w:hAnsiTheme="majorHAnsi"/>
                              <w:color w:val="007C89"/>
                              <w:sz w:val="24"/>
                              <w:szCs w:val="24"/>
                            </w:rPr>
                            <w:t>is available on this website.</w:t>
                          </w:r>
                        </w:hyperlink>
                      </w:p>
                    </w:tc>
                  </w:tr>
                  <w:tr w:rsidR="005266E6" w:rsidRPr="00C103E8" w14:paraId="3C0BF007" w14:textId="77777777" w:rsidTr="00C103E8">
                    <w:trPr>
                      <w:trHeight w:val="5454"/>
                    </w:trPr>
                    <w:tc>
                      <w:tcPr>
                        <w:tcW w:w="5000" w:type="pct"/>
                        <w:tcBorders>
                          <w:top w:val="single" w:sz="4" w:space="0" w:color="auto"/>
                          <w:bottom w:val="single" w:sz="4" w:space="0" w:color="auto"/>
                        </w:tcBorders>
                        <w:tcMar>
                          <w:top w:w="0" w:type="dxa"/>
                          <w:left w:w="270" w:type="dxa"/>
                          <w:bottom w:w="135" w:type="dxa"/>
                          <w:right w:w="270" w:type="dxa"/>
                        </w:tcMar>
                      </w:tcPr>
                      <w:p w14:paraId="10889D93" w14:textId="77777777" w:rsidR="005266E6" w:rsidRPr="00C103E8" w:rsidRDefault="005266E6" w:rsidP="005266E6">
                        <w:pPr>
                          <w:spacing w:before="150" w:after="150" w:line="360" w:lineRule="auto"/>
                          <w:rPr>
                            <w:rFonts w:asciiTheme="majorHAnsi" w:eastAsia="Times New Roman" w:hAnsiTheme="majorHAnsi" w:cs="Helvetica"/>
                            <w:b/>
                            <w:bCs/>
                            <w:color w:val="00A499"/>
                            <w:sz w:val="32"/>
                            <w:szCs w:val="32"/>
                          </w:rPr>
                        </w:pPr>
                        <w:bookmarkStart w:id="9" w:name="Story9"/>
                        <w:r w:rsidRPr="00C103E8">
                          <w:rPr>
                            <w:rFonts w:asciiTheme="majorHAnsi" w:eastAsia="Times New Roman" w:hAnsiTheme="majorHAnsi" w:cs="Helvetica"/>
                            <w:b/>
                            <w:bCs/>
                            <w:color w:val="00A499"/>
                            <w:sz w:val="32"/>
                            <w:szCs w:val="32"/>
                          </w:rPr>
                          <w:lastRenderedPageBreak/>
                          <w:t>NICE CG181 Update</w:t>
                        </w:r>
                      </w:p>
                      <w:bookmarkEnd w:id="9"/>
                      <w:p w14:paraId="6411DC4E" w14:textId="77777777" w:rsidR="005266E6" w:rsidRPr="00C103E8" w:rsidRDefault="005266E6" w:rsidP="005266E6">
                        <w:pPr>
                          <w:spacing w:before="150" w:after="150" w:line="360" w:lineRule="auto"/>
                          <w:rPr>
                            <w:rStyle w:val="Hyperlink"/>
                            <w:rFonts w:asciiTheme="majorHAnsi" w:hAnsiTheme="majorHAnsi"/>
                            <w:sz w:val="24"/>
                            <w:szCs w:val="24"/>
                          </w:rPr>
                        </w:pPr>
                        <w:r w:rsidRPr="00C103E8">
                          <w:rPr>
                            <w:rFonts w:asciiTheme="majorHAnsi" w:hAnsiTheme="majorHAnsi"/>
                            <w:sz w:val="24"/>
                            <w:szCs w:val="24"/>
                          </w:rPr>
                          <w:t xml:space="preserve">NICE Guidance Cardiovascular disease: risk assessment and reduction, including lipid modification Clinical guideline [CG181] was updated in February 2023 with advice that aspirin should not be routinely offered for the primary prevention of cardiovascular disease. Please see recommendation 1.2.1 </w:t>
                        </w:r>
                        <w:hyperlink r:id="rId24" w:history="1">
                          <w:r w:rsidRPr="00C103E8">
                            <w:rPr>
                              <w:rStyle w:val="Hyperlink"/>
                              <w:rFonts w:asciiTheme="majorHAnsi" w:hAnsiTheme="majorHAnsi"/>
                              <w:sz w:val="24"/>
                              <w:szCs w:val="24"/>
                            </w:rPr>
                            <w:t>Overview | Cardiovascular disease: risk assessment and reduction, including lipid modification | Guidance | NICE</w:t>
                          </w:r>
                        </w:hyperlink>
                      </w:p>
                      <w:p w14:paraId="1C3D7641" w14:textId="77777777" w:rsidR="005266E6" w:rsidRPr="00C103E8" w:rsidRDefault="005266E6" w:rsidP="005266E6">
                        <w:pPr>
                          <w:spacing w:before="150" w:after="150" w:line="360" w:lineRule="auto"/>
                          <w:rPr>
                            <w:rFonts w:asciiTheme="majorHAnsi" w:eastAsia="Times New Roman" w:hAnsiTheme="majorHAnsi" w:cs="Helvetica"/>
                            <w:b/>
                            <w:bCs/>
                            <w:color w:val="00A499"/>
                            <w:sz w:val="24"/>
                            <w:szCs w:val="24"/>
                          </w:rPr>
                        </w:pPr>
                        <w:r w:rsidRPr="00C103E8">
                          <w:rPr>
                            <w:rFonts w:asciiTheme="majorHAnsi" w:hAnsiTheme="majorHAnsi"/>
                            <w:sz w:val="24"/>
                            <w:szCs w:val="24"/>
                          </w:rPr>
                          <w:t>This is based on a </w:t>
                        </w:r>
                        <w:hyperlink r:id="rId25" w:history="1">
                          <w:r w:rsidRPr="00C103E8">
                            <w:rPr>
                              <w:rStyle w:val="Hyperlink"/>
                              <w:rFonts w:asciiTheme="majorHAnsi" w:hAnsiTheme="majorHAnsi"/>
                              <w:sz w:val="24"/>
                              <w:szCs w:val="24"/>
                            </w:rPr>
                            <w:t>2023 surveillance decision</w:t>
                          </w:r>
                        </w:hyperlink>
                        <w:r w:rsidRPr="00C103E8">
                          <w:rPr>
                            <w:rFonts w:asciiTheme="majorHAnsi" w:hAnsiTheme="majorHAnsi"/>
                            <w:sz w:val="24"/>
                            <w:szCs w:val="24"/>
                          </w:rPr>
                          <w:t xml:space="preserve">. </w:t>
                        </w:r>
                      </w:p>
                      <w:p w14:paraId="7CEE4DE3" w14:textId="77777777" w:rsidR="005266E6" w:rsidRPr="00C103E8" w:rsidRDefault="005266E6" w:rsidP="005266E6">
                        <w:pPr>
                          <w:spacing w:line="360" w:lineRule="auto"/>
                          <w:rPr>
                            <w:rFonts w:asciiTheme="majorHAnsi" w:hAnsiTheme="majorHAnsi"/>
                            <w:b/>
                            <w:bCs/>
                            <w:sz w:val="24"/>
                            <w:szCs w:val="24"/>
                            <w:u w:val="single"/>
                          </w:rPr>
                        </w:pPr>
                        <w:r w:rsidRPr="00C103E8">
                          <w:rPr>
                            <w:rFonts w:asciiTheme="majorHAnsi" w:hAnsiTheme="majorHAnsi"/>
                            <w:b/>
                            <w:bCs/>
                            <w:sz w:val="24"/>
                            <w:szCs w:val="24"/>
                            <w:u w:val="single"/>
                          </w:rPr>
                          <w:t xml:space="preserve">Action for practices: </w:t>
                        </w:r>
                      </w:p>
                      <w:p w14:paraId="0040410B" w14:textId="14E80EC1" w:rsidR="005266E6" w:rsidRPr="00C103E8" w:rsidRDefault="005266E6" w:rsidP="005266E6">
                        <w:pPr>
                          <w:spacing w:line="360" w:lineRule="auto"/>
                          <w:rPr>
                            <w:rFonts w:asciiTheme="majorHAnsi" w:hAnsiTheme="majorHAnsi"/>
                            <w:b/>
                            <w:bCs/>
                            <w:sz w:val="24"/>
                            <w:szCs w:val="24"/>
                          </w:rPr>
                        </w:pPr>
                        <w:r w:rsidRPr="00C103E8">
                          <w:rPr>
                            <w:rFonts w:asciiTheme="majorHAnsi" w:hAnsiTheme="majorHAnsi"/>
                            <w:b/>
                            <w:bCs/>
                            <w:sz w:val="24"/>
                            <w:szCs w:val="24"/>
                          </w:rPr>
                          <w:t>Practices to identify patients that may be on aspirin for primary prevention and prioritise them for a medication review</w:t>
                        </w:r>
                        <w:r w:rsidR="0083743A">
                          <w:rPr>
                            <w:rFonts w:asciiTheme="majorHAnsi" w:hAnsiTheme="majorHAnsi"/>
                            <w:b/>
                            <w:bCs/>
                            <w:sz w:val="24"/>
                            <w:szCs w:val="24"/>
                          </w:rPr>
                          <w:t>.</w:t>
                        </w:r>
                      </w:p>
                    </w:tc>
                  </w:tr>
                  <w:tr w:rsidR="005266E6" w:rsidRPr="00C103E8" w14:paraId="170B9ADE" w14:textId="77777777" w:rsidTr="00C103E8">
                    <w:trPr>
                      <w:trHeight w:val="4749"/>
                    </w:trPr>
                    <w:tc>
                      <w:tcPr>
                        <w:tcW w:w="5000" w:type="pct"/>
                        <w:tcBorders>
                          <w:top w:val="single" w:sz="4" w:space="0" w:color="auto"/>
                        </w:tcBorders>
                        <w:tcMar>
                          <w:top w:w="0" w:type="dxa"/>
                          <w:left w:w="270" w:type="dxa"/>
                          <w:bottom w:w="135" w:type="dxa"/>
                          <w:right w:w="270" w:type="dxa"/>
                        </w:tcMar>
                      </w:tcPr>
                      <w:p w14:paraId="6CDCB2F5" w14:textId="77777777" w:rsidR="005266E6" w:rsidRPr="00C103E8" w:rsidRDefault="005266E6" w:rsidP="005266E6">
                        <w:pPr>
                          <w:spacing w:before="150" w:after="150" w:line="360" w:lineRule="auto"/>
                          <w:rPr>
                            <w:rFonts w:asciiTheme="majorHAnsi" w:hAnsiTheme="majorHAnsi" w:cs="Helvetica"/>
                            <w:b/>
                            <w:bCs/>
                            <w:color w:val="00A499"/>
                            <w:sz w:val="32"/>
                            <w:szCs w:val="32"/>
                          </w:rPr>
                        </w:pPr>
                        <w:bookmarkStart w:id="10" w:name="Story10"/>
                        <w:r w:rsidRPr="00C103E8">
                          <w:rPr>
                            <w:rFonts w:asciiTheme="majorHAnsi" w:hAnsiTheme="majorHAnsi" w:cs="Helvetica"/>
                            <w:b/>
                            <w:bCs/>
                            <w:color w:val="00A499"/>
                            <w:sz w:val="32"/>
                            <w:szCs w:val="32"/>
                          </w:rPr>
                          <w:t xml:space="preserve">KMPT Video guides on Medicines Information </w:t>
                        </w:r>
                      </w:p>
                      <w:bookmarkEnd w:id="10"/>
                      <w:p w14:paraId="69CA4C13" w14:textId="77777777" w:rsidR="005266E6" w:rsidRPr="00C103E8" w:rsidRDefault="005266E6" w:rsidP="005266E6">
                        <w:pPr>
                          <w:spacing w:before="150" w:after="150" w:line="360" w:lineRule="auto"/>
                          <w:rPr>
                            <w:rFonts w:asciiTheme="majorHAnsi" w:hAnsiTheme="majorHAnsi" w:cs="Helvetica"/>
                            <w:b/>
                            <w:bCs/>
                            <w:color w:val="00A499"/>
                            <w:sz w:val="24"/>
                            <w:szCs w:val="24"/>
                          </w:rPr>
                        </w:pPr>
                        <w:r w:rsidRPr="00C103E8">
                          <w:rPr>
                            <w:rFonts w:asciiTheme="majorHAnsi" w:hAnsiTheme="majorHAnsi"/>
                            <w:sz w:val="24"/>
                            <w:szCs w:val="24"/>
                          </w:rPr>
                          <w:t xml:space="preserve">The Kent and Medway NHS and Social Care Partnership Trust (KMPT) have created video guides for patients on common medications, such as antipsychotics, benzodiazepines, and SSRIs. These can be used alongside the written information provided on the </w:t>
                        </w:r>
                        <w:hyperlink r:id="rId26" w:history="1">
                          <w:r w:rsidRPr="00C103E8">
                            <w:rPr>
                              <w:rStyle w:val="Hyperlink"/>
                              <w:rFonts w:asciiTheme="majorHAnsi" w:hAnsiTheme="majorHAnsi"/>
                              <w:sz w:val="24"/>
                              <w:szCs w:val="24"/>
                            </w:rPr>
                            <w:t>Choice and Medication Website</w:t>
                          </w:r>
                        </w:hyperlink>
                        <w:r w:rsidRPr="00C103E8">
                          <w:rPr>
                            <w:rFonts w:asciiTheme="majorHAnsi" w:hAnsiTheme="majorHAnsi"/>
                            <w:sz w:val="24"/>
                            <w:szCs w:val="24"/>
                          </w:rPr>
                          <w:t>.</w:t>
                        </w:r>
                      </w:p>
                      <w:p w14:paraId="0EF7801F" w14:textId="3E929CFD" w:rsidR="005266E6" w:rsidRDefault="005266E6" w:rsidP="002F6C1E">
                        <w:pPr>
                          <w:spacing w:line="360" w:lineRule="auto"/>
                          <w:rPr>
                            <w:rFonts w:asciiTheme="majorHAnsi" w:hAnsiTheme="majorHAnsi"/>
                            <w:sz w:val="24"/>
                            <w:szCs w:val="24"/>
                          </w:rPr>
                        </w:pPr>
                        <w:r w:rsidRPr="00C103E8">
                          <w:rPr>
                            <w:rFonts w:asciiTheme="majorHAnsi" w:hAnsiTheme="majorHAnsi"/>
                            <w:sz w:val="24"/>
                            <w:szCs w:val="24"/>
                          </w:rPr>
                          <w:t xml:space="preserve">Our primary care colleagues may also find it useful to share these videos with their patients, via the following link: </w:t>
                        </w:r>
                        <w:hyperlink r:id="rId27" w:history="1">
                          <w:r w:rsidRPr="00C103E8">
                            <w:rPr>
                              <w:rStyle w:val="Hyperlink"/>
                              <w:rFonts w:asciiTheme="majorHAnsi" w:hAnsiTheme="majorHAnsi"/>
                              <w:sz w:val="24"/>
                              <w:szCs w:val="24"/>
                            </w:rPr>
                            <w:t>KMPT | Medication information</w:t>
                          </w:r>
                        </w:hyperlink>
                        <w:r w:rsidRPr="00C103E8">
                          <w:rPr>
                            <w:rFonts w:asciiTheme="majorHAnsi" w:hAnsiTheme="majorHAnsi"/>
                            <w:sz w:val="24"/>
                            <w:szCs w:val="24"/>
                          </w:rPr>
                          <w:t xml:space="preserve">  (</w:t>
                        </w:r>
                        <w:hyperlink r:id="rId28" w:history="1">
                          <w:r w:rsidRPr="00C103E8">
                            <w:rPr>
                              <w:rStyle w:val="Hyperlink"/>
                              <w:rFonts w:asciiTheme="majorHAnsi" w:hAnsiTheme="majorHAnsi"/>
                              <w:sz w:val="24"/>
                              <w:szCs w:val="24"/>
                            </w:rPr>
                            <w:t>https://www.kmpt.nhs.uk/information-and-advice/medication-information/</w:t>
                          </w:r>
                        </w:hyperlink>
                        <w:r w:rsidRPr="00C103E8">
                          <w:rPr>
                            <w:rFonts w:asciiTheme="majorHAnsi" w:hAnsiTheme="majorHAnsi"/>
                            <w:sz w:val="24"/>
                            <w:szCs w:val="24"/>
                          </w:rPr>
                          <w:t xml:space="preserve">). </w:t>
                        </w:r>
                      </w:p>
                      <w:p w14:paraId="62AE69E9" w14:textId="77777777" w:rsidR="002F6C1E" w:rsidRDefault="002F6C1E" w:rsidP="002F6C1E">
                        <w:pPr>
                          <w:spacing w:line="360" w:lineRule="auto"/>
                          <w:rPr>
                            <w:rFonts w:asciiTheme="majorHAnsi" w:hAnsiTheme="majorHAnsi"/>
                            <w:b/>
                            <w:bCs/>
                            <w:color w:val="00A499"/>
                            <w:sz w:val="24"/>
                            <w:szCs w:val="24"/>
                          </w:rPr>
                        </w:pPr>
                      </w:p>
                      <w:p w14:paraId="0AA5D5E6" w14:textId="581CC495" w:rsidR="002F6C1E" w:rsidRPr="00C103E8" w:rsidRDefault="002F6C1E" w:rsidP="002F6C1E">
                        <w:pPr>
                          <w:spacing w:line="360" w:lineRule="auto"/>
                          <w:rPr>
                            <w:rFonts w:asciiTheme="majorHAnsi" w:hAnsiTheme="majorHAnsi" w:cs="Helvetica"/>
                            <w:b/>
                            <w:bCs/>
                            <w:color w:val="00A499"/>
                            <w:sz w:val="24"/>
                            <w:szCs w:val="24"/>
                          </w:rPr>
                        </w:pPr>
                      </w:p>
                    </w:tc>
                  </w:tr>
                  <w:tr w:rsidR="005266E6" w:rsidRPr="00C103E8" w14:paraId="5E142274" w14:textId="77777777" w:rsidTr="00C103E8">
                    <w:trPr>
                      <w:trHeight w:val="215"/>
                    </w:trPr>
                    <w:tc>
                      <w:tcPr>
                        <w:tcW w:w="5000" w:type="pct"/>
                        <w:tcBorders>
                          <w:top w:val="single" w:sz="4" w:space="0" w:color="FFFFFF" w:themeColor="background1"/>
                          <w:left w:val="single" w:sz="4" w:space="0" w:color="FFFFFF" w:themeColor="background1"/>
                          <w:bottom w:val="single" w:sz="4" w:space="0" w:color="auto"/>
                        </w:tcBorders>
                        <w:tcMar>
                          <w:top w:w="0" w:type="dxa"/>
                          <w:left w:w="270" w:type="dxa"/>
                          <w:bottom w:w="135" w:type="dxa"/>
                          <w:right w:w="270" w:type="dxa"/>
                        </w:tcMar>
                      </w:tcPr>
                      <w:p w14:paraId="79FF9C17" w14:textId="1749E211" w:rsidR="005266E6" w:rsidRPr="00C103E8" w:rsidRDefault="005266E6" w:rsidP="005266E6">
                        <w:pPr>
                          <w:contextualSpacing/>
                          <w:rPr>
                            <w:rFonts w:asciiTheme="majorHAnsi" w:hAnsiTheme="majorHAnsi" w:cs="Helvetica"/>
                            <w:sz w:val="24"/>
                            <w:szCs w:val="24"/>
                          </w:rPr>
                        </w:pPr>
                      </w:p>
                    </w:tc>
                  </w:tr>
                  <w:tr w:rsidR="005266E6" w:rsidRPr="00C103E8" w14:paraId="15925EF1" w14:textId="77777777" w:rsidTr="00C103E8">
                    <w:trPr>
                      <w:trHeight w:val="5822"/>
                    </w:trPr>
                    <w:tc>
                      <w:tcPr>
                        <w:tcW w:w="5000" w:type="pct"/>
                        <w:tcBorders>
                          <w:top w:val="single" w:sz="4" w:space="0" w:color="auto"/>
                          <w:left w:val="single" w:sz="4" w:space="0" w:color="FFFFFF" w:themeColor="background1"/>
                          <w:bottom w:val="single" w:sz="4" w:space="0" w:color="auto"/>
                        </w:tcBorders>
                        <w:tcMar>
                          <w:top w:w="0" w:type="dxa"/>
                          <w:left w:w="270" w:type="dxa"/>
                          <w:bottom w:w="135" w:type="dxa"/>
                          <w:right w:w="270" w:type="dxa"/>
                        </w:tcMar>
                      </w:tcPr>
                      <w:p w14:paraId="00BF13B3" w14:textId="3D0A51B4" w:rsidR="005266E6" w:rsidRPr="00C103E8" w:rsidRDefault="005266E6" w:rsidP="005266E6">
                        <w:pPr>
                          <w:spacing w:before="480" w:after="150" w:line="276" w:lineRule="auto"/>
                          <w:rPr>
                            <w:rFonts w:asciiTheme="majorHAnsi" w:hAnsiTheme="majorHAnsi" w:cs="Helvetica"/>
                            <w:b/>
                            <w:bCs/>
                            <w:color w:val="00A499"/>
                            <w:sz w:val="32"/>
                            <w:szCs w:val="32"/>
                          </w:rPr>
                        </w:pPr>
                        <w:bookmarkStart w:id="11" w:name="MSN"/>
                        <w:bookmarkStart w:id="12" w:name="MHRA"/>
                        <w:r w:rsidRPr="00C103E8">
                          <w:rPr>
                            <w:rFonts w:asciiTheme="majorHAnsi" w:hAnsiTheme="majorHAnsi" w:cs="Helvetica"/>
                            <w:b/>
                            <w:bCs/>
                            <w:color w:val="00A499"/>
                            <w:sz w:val="32"/>
                            <w:szCs w:val="32"/>
                          </w:rPr>
                          <w:lastRenderedPageBreak/>
                          <w:t>Medicines Optimisation MHRA Drug Safety Update- Jan &amp; Feb 2023</w:t>
                        </w:r>
                        <w:bookmarkEnd w:id="11"/>
                      </w:p>
                      <w:bookmarkEnd w:id="12"/>
                      <w:p w14:paraId="3D6365B6" w14:textId="77777777" w:rsidR="005266E6" w:rsidRPr="00C103E8" w:rsidRDefault="005266E6" w:rsidP="005266E6">
                        <w:pPr>
                          <w:spacing w:line="360" w:lineRule="auto"/>
                          <w:rPr>
                            <w:rFonts w:asciiTheme="majorHAnsi" w:hAnsiTheme="majorHAnsi"/>
                            <w:sz w:val="24"/>
                            <w:szCs w:val="24"/>
                          </w:rPr>
                        </w:pPr>
                        <w:r w:rsidRPr="00C103E8">
                          <w:rPr>
                            <w:rFonts w:asciiTheme="majorHAnsi" w:hAnsiTheme="majorHAnsi"/>
                            <w:sz w:val="24"/>
                            <w:szCs w:val="24"/>
                          </w:rPr>
                          <w:t xml:space="preserve">The latest MHRA Drug Safety Updates can be accessed at </w:t>
                        </w:r>
                        <w:hyperlink r:id="rId29" w:history="1">
                          <w:r w:rsidRPr="00C103E8">
                            <w:rPr>
                              <w:rStyle w:val="Hyperlink"/>
                              <w:rFonts w:asciiTheme="majorHAnsi" w:hAnsiTheme="majorHAnsi"/>
                              <w:sz w:val="24"/>
                              <w:szCs w:val="24"/>
                            </w:rPr>
                            <w:t>Drug Safety Update - GOV.UK (www.gov.uk)</w:t>
                          </w:r>
                        </w:hyperlink>
                        <w:r w:rsidRPr="00C103E8">
                          <w:rPr>
                            <w:rFonts w:asciiTheme="majorHAnsi" w:hAnsiTheme="majorHAnsi"/>
                            <w:sz w:val="24"/>
                            <w:szCs w:val="24"/>
                          </w:rPr>
                          <w:t xml:space="preserve"> . This includes links to alerts, recalls and safety information and to the monthly Drug Safety Update PDF newsletter. </w:t>
                        </w:r>
                      </w:p>
                      <w:p w14:paraId="2941CCFD" w14:textId="77777777" w:rsidR="005266E6" w:rsidRPr="00C103E8" w:rsidRDefault="005266E6" w:rsidP="005266E6">
                        <w:pPr>
                          <w:spacing w:line="360" w:lineRule="auto"/>
                          <w:rPr>
                            <w:rFonts w:asciiTheme="majorHAnsi" w:hAnsiTheme="majorHAnsi"/>
                            <w:b/>
                            <w:bCs/>
                            <w:sz w:val="24"/>
                            <w:szCs w:val="24"/>
                          </w:rPr>
                        </w:pPr>
                        <w:r w:rsidRPr="00C103E8">
                          <w:rPr>
                            <w:rFonts w:asciiTheme="majorHAnsi" w:hAnsiTheme="majorHAnsi"/>
                            <w:b/>
                            <w:bCs/>
                            <w:sz w:val="24"/>
                            <w:szCs w:val="24"/>
                          </w:rPr>
                          <w:t xml:space="preserve">The January 2023 Drug Safety Update includes: </w:t>
                        </w:r>
                      </w:p>
                      <w:p w14:paraId="5C61CAFE" w14:textId="77777777" w:rsidR="005266E6" w:rsidRPr="00C103E8" w:rsidRDefault="005266E6" w:rsidP="005266E6">
                        <w:pPr>
                          <w:spacing w:line="360" w:lineRule="auto"/>
                          <w:rPr>
                            <w:rFonts w:asciiTheme="majorHAnsi" w:hAnsiTheme="majorHAnsi"/>
                            <w:b/>
                            <w:bCs/>
                            <w:sz w:val="24"/>
                            <w:szCs w:val="24"/>
                          </w:rPr>
                        </w:pPr>
                        <w:hyperlink r:id="rId30" w:history="1">
                          <w:r w:rsidRPr="00C103E8">
                            <w:rPr>
                              <w:rStyle w:val="Hyperlink"/>
                              <w:rFonts w:asciiTheme="majorHAnsi" w:hAnsiTheme="majorHAnsi"/>
                              <w:sz w:val="24"/>
                              <w:szCs w:val="24"/>
                            </w:rPr>
                            <w:t>Xaqua (metolazone) 5mg tablets: exercise caution when switching patients between metolazone preparations - GOV.UK (www.gov.uk)</w:t>
                          </w:r>
                        </w:hyperlink>
                      </w:p>
                      <w:p w14:paraId="2EB55E3F" w14:textId="77777777" w:rsidR="005266E6" w:rsidRPr="00C103E8" w:rsidRDefault="005266E6" w:rsidP="005266E6">
                        <w:pPr>
                          <w:spacing w:line="360" w:lineRule="auto"/>
                          <w:rPr>
                            <w:rFonts w:asciiTheme="majorHAnsi" w:hAnsiTheme="majorHAnsi"/>
                            <w:b/>
                            <w:bCs/>
                            <w:sz w:val="24"/>
                            <w:szCs w:val="24"/>
                          </w:rPr>
                        </w:pPr>
                      </w:p>
                      <w:p w14:paraId="7EED66E8" w14:textId="77777777" w:rsidR="005266E6" w:rsidRPr="00C103E8" w:rsidRDefault="005266E6" w:rsidP="005266E6">
                        <w:pPr>
                          <w:spacing w:line="360" w:lineRule="auto"/>
                          <w:rPr>
                            <w:rFonts w:asciiTheme="majorHAnsi" w:hAnsiTheme="majorHAnsi"/>
                            <w:b/>
                            <w:bCs/>
                            <w:sz w:val="24"/>
                            <w:szCs w:val="24"/>
                          </w:rPr>
                        </w:pPr>
                        <w:hyperlink r:id="rId31" w:history="1">
                          <w:r w:rsidRPr="00C103E8">
                            <w:rPr>
                              <w:rStyle w:val="Hyperlink"/>
                              <w:rFonts w:asciiTheme="majorHAnsi" w:hAnsiTheme="majorHAnsi"/>
                              <w:sz w:val="24"/>
                              <w:szCs w:val="24"/>
                            </w:rPr>
                            <w:t>Topical testosterone (Testogel): risk of harm to children following accidental exposure - GOV.UK (www.gov.uk)</w:t>
                          </w:r>
                        </w:hyperlink>
                      </w:p>
                      <w:p w14:paraId="7491D22E" w14:textId="77777777" w:rsidR="005266E6" w:rsidRPr="00C103E8" w:rsidRDefault="005266E6" w:rsidP="005266E6">
                        <w:pPr>
                          <w:spacing w:line="360" w:lineRule="auto"/>
                          <w:rPr>
                            <w:rFonts w:asciiTheme="majorHAnsi" w:hAnsiTheme="majorHAnsi"/>
                            <w:sz w:val="24"/>
                            <w:szCs w:val="24"/>
                          </w:rPr>
                        </w:pPr>
                        <w:r w:rsidRPr="00C103E8">
                          <w:rPr>
                            <w:rFonts w:asciiTheme="majorHAnsi" w:hAnsiTheme="majorHAnsi"/>
                            <w:sz w:val="24"/>
                            <w:szCs w:val="24"/>
                          </w:rPr>
                          <w:t>Action for practices:</w:t>
                        </w:r>
                      </w:p>
                      <w:p w14:paraId="19393150" w14:textId="77777777" w:rsidR="005266E6" w:rsidRPr="00C103E8" w:rsidRDefault="005266E6" w:rsidP="005266E6">
                        <w:pPr>
                          <w:spacing w:line="360" w:lineRule="auto"/>
                          <w:rPr>
                            <w:rFonts w:asciiTheme="majorHAnsi" w:hAnsiTheme="majorHAnsi"/>
                            <w:sz w:val="24"/>
                            <w:szCs w:val="24"/>
                          </w:rPr>
                        </w:pPr>
                        <w:r w:rsidRPr="00C103E8">
                          <w:rPr>
                            <w:rFonts w:asciiTheme="majorHAnsi" w:hAnsiTheme="majorHAnsi"/>
                            <w:sz w:val="24"/>
                            <w:szCs w:val="24"/>
                          </w:rPr>
                          <w:t xml:space="preserve">When prescribing topical testosterone, inform patients of the potential consequences if it is accidentally transferred to other people and counsel patients on methods to reduce the risks of accidental exposure. See MHRA Drug Safety Update </w:t>
                        </w:r>
                        <w:hyperlink r:id="rId32" w:history="1">
                          <w:r w:rsidRPr="00C103E8">
                            <w:rPr>
                              <w:rStyle w:val="Hyperlink"/>
                              <w:rFonts w:asciiTheme="majorHAnsi" w:hAnsiTheme="majorHAnsi"/>
                              <w:sz w:val="24"/>
                              <w:szCs w:val="24"/>
                            </w:rPr>
                            <w:t>(here)</w:t>
                          </w:r>
                        </w:hyperlink>
                        <w:r w:rsidRPr="00C103E8">
                          <w:rPr>
                            <w:rFonts w:asciiTheme="majorHAnsi" w:hAnsiTheme="majorHAnsi"/>
                            <w:b/>
                            <w:bCs/>
                            <w:sz w:val="24"/>
                            <w:szCs w:val="24"/>
                          </w:rPr>
                          <w:t>.</w:t>
                        </w:r>
                        <w:r w:rsidRPr="00C103E8">
                          <w:rPr>
                            <w:rFonts w:asciiTheme="majorHAnsi" w:hAnsiTheme="majorHAnsi"/>
                            <w:sz w:val="24"/>
                            <w:szCs w:val="24"/>
                          </w:rPr>
                          <w:t xml:space="preserve"> Document advice given to patient in notes.</w:t>
                        </w:r>
                      </w:p>
                      <w:p w14:paraId="4225949E" w14:textId="77777777" w:rsidR="005266E6" w:rsidRPr="00C103E8" w:rsidRDefault="005266E6" w:rsidP="005266E6">
                        <w:pPr>
                          <w:spacing w:line="360" w:lineRule="auto"/>
                          <w:rPr>
                            <w:rFonts w:asciiTheme="majorHAnsi" w:hAnsiTheme="majorHAnsi"/>
                            <w:b/>
                            <w:bCs/>
                            <w:sz w:val="24"/>
                            <w:szCs w:val="24"/>
                          </w:rPr>
                        </w:pPr>
                        <w:hyperlink r:id="rId33" w:history="1">
                          <w:r w:rsidRPr="00C103E8">
                            <w:rPr>
                              <w:rStyle w:val="Hyperlink"/>
                              <w:rFonts w:asciiTheme="majorHAnsi" w:hAnsiTheme="majorHAnsi"/>
                              <w:sz w:val="24"/>
                              <w:szCs w:val="24"/>
                            </w:rPr>
                            <w:t>Electronic Prescribing and Medicines Administration Systems: report adverse incidents on a Yellow Card - GOV.UK (www.gov.uk)</w:t>
                          </w:r>
                        </w:hyperlink>
                      </w:p>
                      <w:p w14:paraId="36C340F9" w14:textId="77777777" w:rsidR="005266E6" w:rsidRPr="00C103E8" w:rsidRDefault="005266E6" w:rsidP="005266E6">
                        <w:pPr>
                          <w:spacing w:line="360" w:lineRule="auto"/>
                          <w:rPr>
                            <w:rFonts w:asciiTheme="majorHAnsi" w:hAnsiTheme="majorHAnsi"/>
                            <w:sz w:val="24"/>
                            <w:szCs w:val="24"/>
                          </w:rPr>
                        </w:pPr>
                        <w:r w:rsidRPr="00C103E8">
                          <w:rPr>
                            <w:rFonts w:asciiTheme="majorHAnsi" w:hAnsiTheme="majorHAnsi"/>
                            <w:sz w:val="24"/>
                            <w:szCs w:val="24"/>
                          </w:rPr>
                          <w:t>Advice for healthcare professionals:</w:t>
                        </w:r>
                      </w:p>
                      <w:p w14:paraId="7BA0668C" w14:textId="77777777" w:rsidR="005266E6" w:rsidRPr="00C103E8" w:rsidRDefault="005266E6" w:rsidP="005266E6">
                        <w:pPr>
                          <w:numPr>
                            <w:ilvl w:val="0"/>
                            <w:numId w:val="22"/>
                          </w:numPr>
                          <w:spacing w:after="160" w:line="360" w:lineRule="auto"/>
                          <w:rPr>
                            <w:rFonts w:asciiTheme="majorHAnsi" w:hAnsiTheme="majorHAnsi"/>
                            <w:sz w:val="24"/>
                            <w:szCs w:val="24"/>
                          </w:rPr>
                        </w:pPr>
                        <w:r w:rsidRPr="00C103E8">
                          <w:rPr>
                            <w:rFonts w:asciiTheme="majorHAnsi" w:hAnsiTheme="majorHAnsi"/>
                            <w:sz w:val="24"/>
                            <w:szCs w:val="24"/>
                          </w:rPr>
                          <w:t>be alert for potential errors occurring when using Electronic Prescribing and Medicines Administration Systems (</w:t>
                        </w:r>
                        <w:proofErr w:type="spellStart"/>
                        <w:r w:rsidRPr="00C103E8">
                          <w:rPr>
                            <w:rFonts w:asciiTheme="majorHAnsi" w:hAnsiTheme="majorHAnsi"/>
                            <w:sz w:val="24"/>
                            <w:szCs w:val="24"/>
                          </w:rPr>
                          <w:t>ePMAS</w:t>
                        </w:r>
                        <w:proofErr w:type="spellEnd"/>
                        <w:r w:rsidRPr="00C103E8">
                          <w:rPr>
                            <w:rFonts w:asciiTheme="majorHAnsi" w:hAnsiTheme="majorHAnsi"/>
                            <w:sz w:val="24"/>
                            <w:szCs w:val="24"/>
                          </w:rPr>
                          <w:t xml:space="preserve">) which may lead to patient harm, especially errors involving the dosing of medicines or </w:t>
                        </w:r>
                        <w:proofErr w:type="gramStart"/>
                        <w:r w:rsidRPr="00C103E8">
                          <w:rPr>
                            <w:rFonts w:asciiTheme="majorHAnsi" w:hAnsiTheme="majorHAnsi"/>
                            <w:sz w:val="24"/>
                            <w:szCs w:val="24"/>
                          </w:rPr>
                          <w:t>vaccines</w:t>
                        </w:r>
                        <w:proofErr w:type="gramEnd"/>
                      </w:p>
                      <w:p w14:paraId="538AFDBF" w14:textId="77777777" w:rsidR="005266E6" w:rsidRPr="00C103E8" w:rsidRDefault="005266E6" w:rsidP="005266E6">
                        <w:pPr>
                          <w:numPr>
                            <w:ilvl w:val="0"/>
                            <w:numId w:val="22"/>
                          </w:numPr>
                          <w:spacing w:after="160" w:line="360" w:lineRule="auto"/>
                          <w:rPr>
                            <w:rFonts w:asciiTheme="majorHAnsi" w:hAnsiTheme="majorHAnsi"/>
                            <w:sz w:val="24"/>
                            <w:szCs w:val="24"/>
                          </w:rPr>
                        </w:pPr>
                        <w:proofErr w:type="spellStart"/>
                        <w:r w:rsidRPr="00C103E8">
                          <w:rPr>
                            <w:rFonts w:asciiTheme="majorHAnsi" w:hAnsiTheme="majorHAnsi"/>
                            <w:sz w:val="24"/>
                            <w:szCs w:val="24"/>
                          </w:rPr>
                          <w:t>ePMAS</w:t>
                        </w:r>
                        <w:proofErr w:type="spellEnd"/>
                        <w:r w:rsidRPr="00C103E8">
                          <w:rPr>
                            <w:rFonts w:asciiTheme="majorHAnsi" w:hAnsiTheme="majorHAnsi"/>
                            <w:sz w:val="24"/>
                            <w:szCs w:val="24"/>
                          </w:rPr>
                          <w:t xml:space="preserve"> and other software, apps and artificial intelligence intended to be used for a medical purpose are likely to be medical devices and any adverse incidents involving these devices should be reported to the MHRA’s Yellow Card </w:t>
                        </w:r>
                        <w:proofErr w:type="gramStart"/>
                        <w:r w:rsidRPr="00C103E8">
                          <w:rPr>
                            <w:rFonts w:asciiTheme="majorHAnsi" w:hAnsiTheme="majorHAnsi"/>
                            <w:sz w:val="24"/>
                            <w:szCs w:val="24"/>
                          </w:rPr>
                          <w:t>scheme</w:t>
                        </w:r>
                        <w:proofErr w:type="gramEnd"/>
                      </w:p>
                      <w:p w14:paraId="16357004" w14:textId="77777777" w:rsidR="005266E6" w:rsidRPr="00C103E8" w:rsidRDefault="005266E6" w:rsidP="005266E6">
                        <w:pPr>
                          <w:numPr>
                            <w:ilvl w:val="0"/>
                            <w:numId w:val="22"/>
                          </w:numPr>
                          <w:spacing w:after="160" w:line="360" w:lineRule="auto"/>
                          <w:rPr>
                            <w:rFonts w:asciiTheme="majorHAnsi" w:hAnsiTheme="majorHAnsi"/>
                            <w:sz w:val="24"/>
                            <w:szCs w:val="24"/>
                          </w:rPr>
                        </w:pPr>
                        <w:r w:rsidRPr="00C103E8">
                          <w:rPr>
                            <w:rFonts w:asciiTheme="majorHAnsi" w:hAnsiTheme="majorHAnsi"/>
                            <w:sz w:val="24"/>
                            <w:szCs w:val="24"/>
                          </w:rPr>
                          <w:t>use the new </w:t>
                        </w:r>
                        <w:hyperlink r:id="rId34" w:history="1">
                          <w:r w:rsidRPr="00C103E8">
                            <w:rPr>
                              <w:rStyle w:val="Hyperlink"/>
                              <w:rFonts w:asciiTheme="majorHAnsi" w:hAnsiTheme="majorHAnsi"/>
                              <w:sz w:val="24"/>
                              <w:szCs w:val="24"/>
                            </w:rPr>
                            <w:t>digital Yellow Card</w:t>
                          </w:r>
                        </w:hyperlink>
                        <w:r w:rsidRPr="00C103E8">
                          <w:rPr>
                            <w:rFonts w:asciiTheme="majorHAnsi" w:hAnsiTheme="majorHAnsi"/>
                            <w:sz w:val="24"/>
                            <w:szCs w:val="24"/>
                          </w:rPr>
                          <w:t xml:space="preserve"> report form to inform us about adverse </w:t>
                        </w:r>
                        <w:r w:rsidRPr="00C103E8">
                          <w:rPr>
                            <w:rFonts w:asciiTheme="majorHAnsi" w:hAnsiTheme="majorHAnsi"/>
                            <w:sz w:val="24"/>
                            <w:szCs w:val="24"/>
                          </w:rPr>
                          <w:lastRenderedPageBreak/>
                          <w:t>incidents involving software as a medical device.</w:t>
                        </w:r>
                      </w:p>
                      <w:p w14:paraId="1B1704F3" w14:textId="77777777" w:rsidR="005266E6" w:rsidRPr="00C103E8" w:rsidRDefault="005266E6" w:rsidP="005266E6">
                        <w:pPr>
                          <w:spacing w:line="360" w:lineRule="auto"/>
                          <w:rPr>
                            <w:rFonts w:asciiTheme="majorHAnsi" w:hAnsiTheme="majorHAnsi"/>
                            <w:b/>
                            <w:bCs/>
                            <w:sz w:val="24"/>
                            <w:szCs w:val="24"/>
                          </w:rPr>
                        </w:pPr>
                        <w:hyperlink r:id="rId35" w:history="1">
                          <w:r w:rsidRPr="00C103E8">
                            <w:rPr>
                              <w:rStyle w:val="Hyperlink"/>
                              <w:rFonts w:asciiTheme="majorHAnsi" w:hAnsiTheme="majorHAnsi"/>
                              <w:sz w:val="24"/>
                              <w:szCs w:val="24"/>
                            </w:rPr>
                            <w:t>COVID-19 vaccines and medicines: updates for January 2023 - GOV.UK (www.gov.uk)</w:t>
                          </w:r>
                        </w:hyperlink>
                      </w:p>
                      <w:p w14:paraId="5D259A4B" w14:textId="77777777" w:rsidR="005266E6" w:rsidRPr="00C103E8" w:rsidRDefault="005266E6" w:rsidP="005266E6">
                        <w:pPr>
                          <w:spacing w:line="360" w:lineRule="auto"/>
                          <w:rPr>
                            <w:rFonts w:asciiTheme="majorHAnsi" w:hAnsiTheme="majorHAnsi"/>
                            <w:sz w:val="24"/>
                            <w:szCs w:val="24"/>
                          </w:rPr>
                        </w:pPr>
                        <w:hyperlink r:id="rId36" w:history="1">
                          <w:r w:rsidRPr="00C103E8">
                            <w:rPr>
                              <w:rStyle w:val="Hyperlink"/>
                              <w:rFonts w:asciiTheme="majorHAnsi" w:hAnsiTheme="majorHAnsi"/>
                              <w:sz w:val="24"/>
                              <w:szCs w:val="24"/>
                            </w:rPr>
                            <w:t>Letters and medicine recalls sent to healthcare professionals in December 2022 - GOV.UK (www.gov.uk)</w:t>
                          </w:r>
                        </w:hyperlink>
                      </w:p>
                      <w:p w14:paraId="069D1C0C" w14:textId="77777777" w:rsidR="005266E6" w:rsidRPr="00C103E8" w:rsidRDefault="005266E6" w:rsidP="005266E6">
                        <w:pPr>
                          <w:spacing w:line="360" w:lineRule="auto"/>
                          <w:rPr>
                            <w:rFonts w:asciiTheme="majorHAnsi" w:hAnsiTheme="majorHAnsi"/>
                            <w:sz w:val="24"/>
                            <w:szCs w:val="24"/>
                          </w:rPr>
                        </w:pPr>
                      </w:p>
                      <w:p w14:paraId="5449A1F2" w14:textId="77777777" w:rsidR="005266E6" w:rsidRPr="00C103E8" w:rsidRDefault="005266E6" w:rsidP="005266E6">
                        <w:pPr>
                          <w:spacing w:line="360" w:lineRule="auto"/>
                          <w:rPr>
                            <w:rFonts w:asciiTheme="majorHAnsi" w:hAnsiTheme="majorHAnsi"/>
                            <w:b/>
                            <w:bCs/>
                            <w:sz w:val="24"/>
                            <w:szCs w:val="24"/>
                          </w:rPr>
                        </w:pPr>
                        <w:r w:rsidRPr="00C103E8">
                          <w:rPr>
                            <w:rFonts w:asciiTheme="majorHAnsi" w:hAnsiTheme="majorHAnsi"/>
                            <w:b/>
                            <w:bCs/>
                            <w:sz w:val="24"/>
                            <w:szCs w:val="24"/>
                          </w:rPr>
                          <w:t>The February 2023 Drug Safety Update includes:</w:t>
                        </w:r>
                      </w:p>
                      <w:p w14:paraId="27D6937D" w14:textId="77777777" w:rsidR="005266E6" w:rsidRPr="00C103E8" w:rsidRDefault="005266E6" w:rsidP="005266E6">
                        <w:pPr>
                          <w:spacing w:line="360" w:lineRule="auto"/>
                          <w:rPr>
                            <w:rFonts w:asciiTheme="majorHAnsi" w:hAnsiTheme="majorHAnsi"/>
                            <w:b/>
                            <w:bCs/>
                            <w:sz w:val="24"/>
                            <w:szCs w:val="24"/>
                          </w:rPr>
                        </w:pPr>
                        <w:hyperlink r:id="rId37" w:history="1">
                          <w:r w:rsidRPr="00C103E8">
                            <w:rPr>
                              <w:rStyle w:val="Hyperlink"/>
                              <w:rFonts w:asciiTheme="majorHAnsi" w:hAnsiTheme="majorHAnsi"/>
                              <w:sz w:val="24"/>
                              <w:szCs w:val="24"/>
                            </w:rPr>
                            <w:t>COVID-19 vaccines and medicines: updates for February 2023 - GOV.UK (www.gov.uk)</w:t>
                          </w:r>
                        </w:hyperlink>
                      </w:p>
                      <w:p w14:paraId="6DE4DC54" w14:textId="77777777" w:rsidR="005266E6" w:rsidRPr="00C103E8" w:rsidRDefault="005266E6" w:rsidP="005266E6">
                        <w:pPr>
                          <w:spacing w:line="360" w:lineRule="auto"/>
                          <w:rPr>
                            <w:rFonts w:asciiTheme="majorHAnsi" w:hAnsiTheme="majorHAnsi"/>
                            <w:b/>
                            <w:bCs/>
                            <w:sz w:val="24"/>
                            <w:szCs w:val="24"/>
                          </w:rPr>
                        </w:pPr>
                        <w:hyperlink r:id="rId38" w:history="1">
                          <w:r w:rsidRPr="00C103E8">
                            <w:rPr>
                              <w:rStyle w:val="Hyperlink"/>
                              <w:rFonts w:asciiTheme="majorHAnsi" w:hAnsiTheme="majorHAnsi"/>
                              <w:sz w:val="24"/>
                              <w:szCs w:val="24"/>
                            </w:rPr>
                            <w:t>Letters and medicine recalls sent to healthcare professionals in January 2023 - GOV.UK (www.gov.uk)</w:t>
                          </w:r>
                        </w:hyperlink>
                      </w:p>
                      <w:p w14:paraId="7FE56C03" w14:textId="77777777" w:rsidR="005266E6" w:rsidRPr="00C103E8" w:rsidRDefault="005266E6" w:rsidP="005266E6">
                        <w:pPr>
                          <w:spacing w:line="360" w:lineRule="auto"/>
                          <w:rPr>
                            <w:rFonts w:asciiTheme="majorHAnsi" w:hAnsiTheme="majorHAnsi"/>
                            <w:b/>
                            <w:bCs/>
                            <w:sz w:val="24"/>
                            <w:szCs w:val="24"/>
                          </w:rPr>
                        </w:pPr>
                        <w:r w:rsidRPr="00C103E8">
                          <w:rPr>
                            <w:rFonts w:asciiTheme="majorHAnsi" w:hAnsiTheme="majorHAnsi"/>
                            <w:b/>
                            <w:bCs/>
                            <w:sz w:val="24"/>
                            <w:szCs w:val="24"/>
                          </w:rPr>
                          <w:t>Please follow the link in the titles above for more information and resources.</w:t>
                        </w:r>
                      </w:p>
                      <w:p w14:paraId="1F6DA5B4" w14:textId="77777777" w:rsidR="005266E6" w:rsidRPr="00C103E8" w:rsidRDefault="005266E6" w:rsidP="005266E6">
                        <w:pPr>
                          <w:spacing w:line="360" w:lineRule="auto"/>
                          <w:rPr>
                            <w:rFonts w:asciiTheme="majorHAnsi" w:hAnsiTheme="majorHAnsi"/>
                            <w:b/>
                            <w:bCs/>
                            <w:sz w:val="24"/>
                            <w:szCs w:val="24"/>
                          </w:rPr>
                        </w:pPr>
                        <w:r w:rsidRPr="00C103E8">
                          <w:rPr>
                            <w:rFonts w:asciiTheme="majorHAnsi" w:hAnsiTheme="majorHAnsi"/>
                            <w:b/>
                            <w:bCs/>
                            <w:sz w:val="24"/>
                            <w:szCs w:val="24"/>
                          </w:rPr>
                          <w:t xml:space="preserve">The MHRA Central Alerting System alerts can be accessed at </w:t>
                        </w:r>
                        <w:hyperlink r:id="rId39" w:history="1">
                          <w:r w:rsidRPr="00C103E8">
                            <w:rPr>
                              <w:rStyle w:val="Hyperlink"/>
                              <w:rFonts w:asciiTheme="majorHAnsi" w:hAnsiTheme="majorHAnsi"/>
                              <w:sz w:val="24"/>
                              <w:szCs w:val="24"/>
                            </w:rPr>
                            <w:t>https://www.cas.mhra.gov.uk/Home.aspx</w:t>
                          </w:r>
                        </w:hyperlink>
                      </w:p>
                      <w:p w14:paraId="4B624F8B" w14:textId="77777777" w:rsidR="005266E6" w:rsidRPr="00C103E8" w:rsidRDefault="005266E6" w:rsidP="005266E6">
                        <w:pPr>
                          <w:contextualSpacing/>
                          <w:rPr>
                            <w:rFonts w:asciiTheme="majorHAnsi" w:hAnsiTheme="majorHAnsi" w:cs="Helvetica"/>
                            <w:b/>
                            <w:bCs/>
                            <w:color w:val="00A499"/>
                            <w:sz w:val="24"/>
                            <w:szCs w:val="24"/>
                          </w:rPr>
                        </w:pPr>
                      </w:p>
                    </w:tc>
                  </w:tr>
                  <w:tr w:rsidR="005266E6" w:rsidRPr="00C103E8" w14:paraId="13D2F277" w14:textId="77777777" w:rsidTr="00C103E8">
                    <w:trPr>
                      <w:trHeight w:val="94"/>
                    </w:trPr>
                    <w:tc>
                      <w:tcPr>
                        <w:tcW w:w="5000" w:type="pct"/>
                        <w:tcBorders>
                          <w:top w:val="single" w:sz="4" w:space="0" w:color="FFFFFF" w:themeColor="background1"/>
                          <w:left w:val="single" w:sz="4" w:space="0" w:color="FFFFFF" w:themeColor="background1"/>
                          <w:bottom w:val="single" w:sz="4" w:space="0" w:color="FFFFFF" w:themeColor="background1"/>
                        </w:tcBorders>
                        <w:tcMar>
                          <w:top w:w="0" w:type="dxa"/>
                          <w:left w:w="270" w:type="dxa"/>
                          <w:bottom w:w="135" w:type="dxa"/>
                          <w:right w:w="270" w:type="dxa"/>
                        </w:tcMar>
                      </w:tcPr>
                      <w:p w14:paraId="690586C6" w14:textId="2116F017" w:rsidR="00FC687A" w:rsidRDefault="00FC687A" w:rsidP="00FC687A">
                        <w:pPr>
                          <w:pStyle w:val="Heading1"/>
                          <w:spacing w:after="150"/>
                          <w:rPr>
                            <w:rFonts w:ascii="Arial" w:eastAsia="Times New Roman" w:hAnsi="Arial" w:cs="Arial"/>
                            <w:color w:val="000000"/>
                          </w:rPr>
                        </w:pPr>
                        <w:bookmarkStart w:id="13" w:name="story11"/>
                        <w:r>
                          <w:rPr>
                            <w:rFonts w:asciiTheme="majorHAnsi" w:hAnsiTheme="majorHAnsi"/>
                            <w:color w:val="00A499"/>
                            <w:sz w:val="32"/>
                            <w:szCs w:val="32"/>
                          </w:rPr>
                          <w:lastRenderedPageBreak/>
                          <w:t xml:space="preserve">MHRA- Class 4 Medicines Defect Information: Macarthys Laboratories t/a Martindale Pharma: Venlafaxine XL 150mg, 225mg, 300mg prolonged release tablets, </w:t>
                        </w:r>
                        <w:proofErr w:type="gramStart"/>
                        <w:r>
                          <w:rPr>
                            <w:rFonts w:asciiTheme="majorHAnsi" w:hAnsiTheme="majorHAnsi"/>
                            <w:color w:val="00A499"/>
                            <w:sz w:val="32"/>
                            <w:szCs w:val="32"/>
                          </w:rPr>
                          <w:t>EL(</w:t>
                        </w:r>
                        <w:proofErr w:type="gramEnd"/>
                        <w:r>
                          <w:rPr>
                            <w:rFonts w:asciiTheme="majorHAnsi" w:hAnsiTheme="majorHAnsi"/>
                            <w:color w:val="00A499"/>
                            <w:sz w:val="32"/>
                            <w:szCs w:val="32"/>
                          </w:rPr>
                          <w:t>23)A/10</w:t>
                        </w:r>
                      </w:p>
                      <w:bookmarkEnd w:id="13"/>
                      <w:p w14:paraId="036C14F4" w14:textId="77777777" w:rsidR="002D135D" w:rsidRDefault="00FC687A" w:rsidP="00FC687A">
                        <w:pPr>
                          <w:spacing w:before="150" w:after="300" w:line="360" w:lineRule="auto"/>
                          <w:rPr>
                            <w:rFonts w:asciiTheme="majorHAnsi" w:hAnsiTheme="majorHAnsi" w:cs="Arial"/>
                            <w:color w:val="000000"/>
                            <w:sz w:val="24"/>
                            <w:szCs w:val="24"/>
                          </w:rPr>
                        </w:pPr>
                        <w:r w:rsidRPr="00FC687A">
                          <w:rPr>
                            <w:rFonts w:asciiTheme="majorHAnsi" w:hAnsiTheme="majorHAnsi" w:cs="Arial"/>
                            <w:color w:val="000000"/>
                            <w:sz w:val="24"/>
                            <w:szCs w:val="24"/>
                          </w:rPr>
                          <w:t xml:space="preserve">Additional to the batches included in the previous Class 4 Medicines Notification (reference </w:t>
                        </w:r>
                        <w:proofErr w:type="gramStart"/>
                        <w:r w:rsidRPr="00FC687A">
                          <w:rPr>
                            <w:rFonts w:asciiTheme="majorHAnsi" w:hAnsiTheme="majorHAnsi" w:cs="Arial"/>
                            <w:color w:val="000000"/>
                            <w:sz w:val="24"/>
                            <w:szCs w:val="24"/>
                          </w:rPr>
                          <w:t>EL(</w:t>
                        </w:r>
                        <w:proofErr w:type="gramEnd"/>
                        <w:r w:rsidRPr="00FC687A">
                          <w:rPr>
                            <w:rFonts w:asciiTheme="majorHAnsi" w:hAnsiTheme="majorHAnsi" w:cs="Arial"/>
                            <w:color w:val="000000"/>
                            <w:sz w:val="24"/>
                            <w:szCs w:val="24"/>
                          </w:rPr>
                          <w:t>22)A/47), Martindale Pharma has made the MHRA aware that the GTIN in the 2D barcode and the printed variable data represents the branded version of the product (</w:t>
                        </w:r>
                        <w:proofErr w:type="spellStart"/>
                        <w:r w:rsidRPr="00FC687A">
                          <w:rPr>
                            <w:rFonts w:asciiTheme="majorHAnsi" w:hAnsiTheme="majorHAnsi" w:cs="Arial"/>
                            <w:color w:val="000000"/>
                            <w:sz w:val="24"/>
                            <w:szCs w:val="24"/>
                          </w:rPr>
                          <w:t>Venlalic</w:t>
                        </w:r>
                        <w:proofErr w:type="spellEnd"/>
                        <w:r w:rsidRPr="00FC687A">
                          <w:rPr>
                            <w:rFonts w:asciiTheme="majorHAnsi" w:hAnsiTheme="majorHAnsi" w:cs="Arial"/>
                            <w:color w:val="000000"/>
                            <w:sz w:val="24"/>
                            <w:szCs w:val="24"/>
                          </w:rPr>
                          <w:t>® XL prolonged-release tablets).</w:t>
                        </w:r>
                      </w:p>
                      <w:p w14:paraId="0D71B6DB" w14:textId="35A7DA3D" w:rsidR="00FC687A" w:rsidRPr="00FC687A" w:rsidRDefault="00FC687A" w:rsidP="00FC687A">
                        <w:pPr>
                          <w:spacing w:before="150" w:after="300" w:line="360" w:lineRule="auto"/>
                          <w:rPr>
                            <w:rFonts w:asciiTheme="majorHAnsi" w:hAnsiTheme="majorHAnsi" w:cs="Arial"/>
                            <w:color w:val="000000"/>
                            <w:sz w:val="24"/>
                            <w:szCs w:val="24"/>
                          </w:rPr>
                        </w:pPr>
                        <w:r w:rsidRPr="00FC687A">
                          <w:rPr>
                            <w:rFonts w:asciiTheme="majorHAnsi" w:hAnsiTheme="majorHAnsi" w:cs="Arial"/>
                            <w:color w:val="000000"/>
                            <w:sz w:val="24"/>
                            <w:szCs w:val="24"/>
                          </w:rPr>
                          <w:t>Full information can be found on the MHRA website at the link below:</w:t>
                        </w:r>
                      </w:p>
                      <w:p w14:paraId="44F8B20A" w14:textId="5E80A6C7" w:rsidR="005266E6" w:rsidRPr="00C103E8" w:rsidRDefault="00FC687A" w:rsidP="00FC687A">
                        <w:pPr>
                          <w:spacing w:before="150" w:after="150" w:line="360" w:lineRule="auto"/>
                          <w:rPr>
                            <w:rFonts w:asciiTheme="majorHAnsi" w:hAnsiTheme="majorHAnsi" w:cs="Helvetica"/>
                            <w:b/>
                            <w:bCs/>
                            <w:color w:val="00A499"/>
                            <w:sz w:val="32"/>
                            <w:szCs w:val="32"/>
                          </w:rPr>
                        </w:pPr>
                        <w:hyperlink r:id="rId40" w:tgtFrame="_blank" w:history="1">
                          <w:r w:rsidRPr="00FC687A">
                            <w:rPr>
                              <w:rStyle w:val="Hyperlink"/>
                              <w:rFonts w:asciiTheme="majorHAnsi" w:hAnsiTheme="majorHAnsi" w:cs="Arial"/>
                              <w:sz w:val="24"/>
                              <w:szCs w:val="24"/>
                            </w:rPr>
                            <w:t>https://www.gov.uk/drug-device-alerts/class-4-medicines-defect-information-macarthys-laboratories-t-slash-a-martindale-pharma-venlafaxine-xl-150mg-</w:t>
                          </w:r>
                          <w:r w:rsidRPr="00FC687A">
                            <w:rPr>
                              <w:rStyle w:val="Hyperlink"/>
                              <w:rFonts w:asciiTheme="majorHAnsi" w:hAnsiTheme="majorHAnsi" w:cs="Arial"/>
                              <w:sz w:val="24"/>
                              <w:szCs w:val="24"/>
                            </w:rPr>
                            <w:lastRenderedPageBreak/>
                            <w:t>225mg-300mg-prolonged-release-tablets-el-23-a-slash-10</w:t>
                          </w:r>
                        </w:hyperlink>
                      </w:p>
                    </w:tc>
                  </w:tr>
                </w:tbl>
                <w:p w14:paraId="531B1A32" w14:textId="77777777" w:rsidR="00C349F2" w:rsidRPr="00C103E8" w:rsidRDefault="00C349F2">
                  <w:pPr>
                    <w:rPr>
                      <w:rFonts w:asciiTheme="majorHAnsi" w:eastAsia="Times New Roman" w:hAnsiTheme="majorHAnsi" w:cs="Helvetica"/>
                      <w:sz w:val="24"/>
                      <w:szCs w:val="24"/>
                    </w:rPr>
                  </w:pPr>
                </w:p>
              </w:tc>
            </w:tr>
          </w:tbl>
          <w:p w14:paraId="1E50C1AB" w14:textId="77777777" w:rsidR="00C349F2" w:rsidRPr="00C103E8" w:rsidRDefault="00C349F2">
            <w:pPr>
              <w:rPr>
                <w:rFonts w:asciiTheme="majorHAnsi" w:eastAsia="Times New Roman" w:hAnsiTheme="majorHAnsi" w:cs="Helvetica"/>
                <w:sz w:val="24"/>
                <w:szCs w:val="24"/>
              </w:rPr>
            </w:pPr>
          </w:p>
        </w:tc>
      </w:tr>
      <w:tr w:rsidR="00675A68" w:rsidRPr="007B5E36" w14:paraId="2B6F9E0C" w14:textId="77777777" w:rsidTr="00A8169E">
        <w:trPr>
          <w:trHeight w:val="513"/>
        </w:trPr>
        <w:tc>
          <w:tcPr>
            <w:tcW w:w="0" w:type="auto"/>
            <w:tcBorders>
              <w:top w:val="single" w:sz="4" w:space="0" w:color="FFFFFF" w:themeColor="background1"/>
              <w:bottom w:val="single" w:sz="4" w:space="0" w:color="FFFFFF" w:themeColor="background1"/>
              <w:right w:val="single" w:sz="4" w:space="0" w:color="FFFFFF" w:themeColor="background1"/>
            </w:tcBorders>
            <w:shd w:val="clear" w:color="auto" w:fill="auto"/>
            <w:tcMar>
              <w:top w:w="135" w:type="dxa"/>
              <w:left w:w="0" w:type="dxa"/>
              <w:bottom w:w="0" w:type="dxa"/>
              <w:right w:w="0" w:type="dxa"/>
            </w:tcMar>
          </w:tcPr>
          <w:tbl>
            <w:tblPr>
              <w:tblpPr w:leftFromText="45" w:rightFromText="45" w:vertAnchor="text"/>
              <w:tblOverlap w:val="never"/>
              <w:tblW w:w="9103" w:type="dxa"/>
              <w:tblCellMar>
                <w:left w:w="0" w:type="dxa"/>
                <w:right w:w="0" w:type="dxa"/>
              </w:tblCellMar>
              <w:tblLook w:val="04A0" w:firstRow="1" w:lastRow="0" w:firstColumn="1" w:lastColumn="0" w:noHBand="0" w:noVBand="1"/>
            </w:tblPr>
            <w:tblGrid>
              <w:gridCol w:w="9103"/>
            </w:tblGrid>
            <w:tr w:rsidR="00FC687A" w:rsidRPr="00C103E8" w14:paraId="7E5804F9" w14:textId="77777777">
              <w:trPr>
                <w:trHeight w:val="94"/>
              </w:trPr>
              <w:tc>
                <w:tcPr>
                  <w:tcW w:w="5000" w:type="pct"/>
                  <w:tcBorders>
                    <w:top w:val="single" w:sz="4" w:space="0" w:color="FFFFFF" w:themeColor="background1"/>
                    <w:left w:val="single" w:sz="4" w:space="0" w:color="FFFFFF" w:themeColor="background1"/>
                    <w:bottom w:val="single" w:sz="4" w:space="0" w:color="FFFFFF" w:themeColor="background1"/>
                  </w:tcBorders>
                  <w:tcMar>
                    <w:top w:w="0" w:type="dxa"/>
                    <w:left w:w="270" w:type="dxa"/>
                    <w:bottom w:w="135" w:type="dxa"/>
                    <w:right w:w="270" w:type="dxa"/>
                  </w:tcMar>
                </w:tcPr>
                <w:p w14:paraId="1DD4BAF1" w14:textId="77777777" w:rsidR="00FC687A" w:rsidRDefault="00FC687A" w:rsidP="00FC687A">
                  <w:pPr>
                    <w:spacing w:before="150" w:after="150" w:line="360" w:lineRule="auto"/>
                    <w:rPr>
                      <w:rFonts w:asciiTheme="majorHAnsi" w:hAnsiTheme="majorHAnsi" w:cs="Helvetica"/>
                      <w:b/>
                      <w:bCs/>
                      <w:color w:val="00A499"/>
                      <w:sz w:val="32"/>
                      <w:szCs w:val="32"/>
                    </w:rPr>
                  </w:pPr>
                  <w:bookmarkStart w:id="14" w:name="shortages"/>
                  <w:r w:rsidRPr="005208FC">
                    <w:rPr>
                      <w:rFonts w:asciiTheme="majorHAnsi" w:hAnsiTheme="majorHAnsi" w:cs="Helvetica"/>
                      <w:b/>
                      <w:bCs/>
                      <w:color w:val="00A499"/>
                      <w:sz w:val="32"/>
                      <w:szCs w:val="32"/>
                    </w:rPr>
                    <w:lastRenderedPageBreak/>
                    <w:t xml:space="preserve">Shortages Summary </w:t>
                  </w:r>
                  <w:r>
                    <w:rPr>
                      <w:rFonts w:asciiTheme="majorHAnsi" w:hAnsiTheme="majorHAnsi" w:cs="Helvetica"/>
                      <w:b/>
                      <w:bCs/>
                      <w:color w:val="00A499"/>
                      <w:sz w:val="32"/>
                      <w:szCs w:val="32"/>
                    </w:rPr>
                    <w:t>March</w:t>
                  </w:r>
                  <w:r w:rsidRPr="005208FC">
                    <w:rPr>
                      <w:rFonts w:asciiTheme="majorHAnsi" w:hAnsiTheme="majorHAnsi" w:cs="Helvetica"/>
                      <w:b/>
                      <w:bCs/>
                      <w:color w:val="00A499"/>
                      <w:sz w:val="32"/>
                      <w:szCs w:val="32"/>
                    </w:rPr>
                    <w:t xml:space="preserve"> 202</w:t>
                  </w:r>
                  <w:r>
                    <w:rPr>
                      <w:rFonts w:asciiTheme="majorHAnsi" w:hAnsiTheme="majorHAnsi" w:cs="Helvetica"/>
                      <w:b/>
                      <w:bCs/>
                      <w:color w:val="00A499"/>
                      <w:sz w:val="32"/>
                      <w:szCs w:val="32"/>
                    </w:rPr>
                    <w:t>3</w:t>
                  </w:r>
                </w:p>
                <w:bookmarkEnd w:id="14"/>
                <w:p w14:paraId="05147EFB" w14:textId="2631B0A7" w:rsidR="00FC687A" w:rsidRPr="00C103E8" w:rsidRDefault="00FC687A" w:rsidP="00FC687A">
                  <w:pPr>
                    <w:spacing w:before="150" w:after="150" w:line="360" w:lineRule="auto"/>
                    <w:rPr>
                      <w:rFonts w:asciiTheme="majorHAnsi" w:hAnsiTheme="majorHAnsi" w:cs="Helvetica"/>
                      <w:b/>
                      <w:bCs/>
                      <w:color w:val="00A499"/>
                      <w:sz w:val="32"/>
                      <w:szCs w:val="32"/>
                    </w:rPr>
                  </w:pPr>
                  <w:r w:rsidRPr="00DF6663">
                    <w:rPr>
                      <w:rFonts w:asciiTheme="majorHAnsi" w:hAnsiTheme="majorHAnsi" w:cstheme="minorHAnsi"/>
                      <w:color w:val="000000"/>
                      <w:sz w:val="24"/>
                      <w:szCs w:val="24"/>
                    </w:rPr>
                    <w:t xml:space="preserve">Please find the medicines shortages update (up until </w:t>
                  </w:r>
                  <w:r w:rsidR="002C6C63">
                    <w:rPr>
                      <w:rFonts w:asciiTheme="majorHAnsi" w:hAnsiTheme="majorHAnsi" w:cstheme="minorHAnsi"/>
                      <w:color w:val="000000"/>
                      <w:sz w:val="24"/>
                      <w:szCs w:val="24"/>
                    </w:rPr>
                    <w:t>2</w:t>
                  </w:r>
                  <w:r w:rsidRPr="00DF6663">
                    <w:rPr>
                      <w:rFonts w:asciiTheme="majorHAnsi" w:hAnsiTheme="majorHAnsi" w:cstheme="minorHAnsi"/>
                      <w:color w:val="000000"/>
                      <w:sz w:val="24"/>
                      <w:szCs w:val="24"/>
                    </w:rPr>
                    <w:t>1</w:t>
                  </w:r>
                  <w:proofErr w:type="gramStart"/>
                  <w:r w:rsidR="002C6C63" w:rsidRPr="002C6C63">
                    <w:rPr>
                      <w:rFonts w:asciiTheme="majorHAnsi" w:hAnsiTheme="majorHAnsi" w:cstheme="minorHAnsi"/>
                      <w:color w:val="000000"/>
                      <w:sz w:val="24"/>
                      <w:szCs w:val="24"/>
                      <w:vertAlign w:val="superscript"/>
                    </w:rPr>
                    <w:t>st</w:t>
                  </w:r>
                  <w:r w:rsidR="002C6C63">
                    <w:rPr>
                      <w:rFonts w:asciiTheme="majorHAnsi" w:hAnsiTheme="majorHAnsi" w:cstheme="minorHAnsi"/>
                      <w:color w:val="000000"/>
                      <w:sz w:val="24"/>
                      <w:szCs w:val="24"/>
                    </w:rPr>
                    <w:t xml:space="preserve"> </w:t>
                  </w:r>
                  <w:r w:rsidRPr="00DF6663">
                    <w:rPr>
                      <w:rFonts w:asciiTheme="majorHAnsi" w:hAnsiTheme="majorHAnsi" w:cstheme="minorHAnsi"/>
                      <w:color w:val="000000"/>
                      <w:sz w:val="24"/>
                      <w:szCs w:val="24"/>
                    </w:rPr>
                    <w:t xml:space="preserve"> March</w:t>
                  </w:r>
                  <w:proofErr w:type="gramEnd"/>
                  <w:r w:rsidRPr="00DF6663">
                    <w:rPr>
                      <w:rFonts w:asciiTheme="majorHAnsi" w:hAnsiTheme="majorHAnsi" w:cstheme="minorHAnsi"/>
                      <w:color w:val="000000"/>
                      <w:sz w:val="24"/>
                      <w:szCs w:val="24"/>
                    </w:rPr>
                    <w:t xml:space="preserve"> 2023) attached. Practices are encouraged to register for access to the SPS website </w:t>
                  </w:r>
                  <w:hyperlink r:id="rId41" w:history="1">
                    <w:r w:rsidRPr="00DF6663">
                      <w:rPr>
                        <w:rStyle w:val="Hyperlink"/>
                        <w:rFonts w:asciiTheme="majorHAnsi" w:hAnsiTheme="majorHAnsi" w:cstheme="minorHAnsi"/>
                        <w:sz w:val="24"/>
                        <w:szCs w:val="24"/>
                      </w:rPr>
                      <w:t>https://www.sps.nhs.uk/</w:t>
                    </w:r>
                  </w:hyperlink>
                  <w:r w:rsidRPr="00DF6663">
                    <w:rPr>
                      <w:rFonts w:asciiTheme="majorHAnsi" w:hAnsiTheme="majorHAnsi" w:cstheme="minorHAnsi"/>
                      <w:color w:val="000000"/>
                      <w:sz w:val="24"/>
                      <w:szCs w:val="24"/>
                    </w:rPr>
                    <w:t xml:space="preserve"> and access the full medicines supply tool directly in real time</w:t>
                  </w:r>
                  <w:r>
                    <w:rPr>
                      <w:rFonts w:asciiTheme="majorHAnsi" w:hAnsiTheme="majorHAnsi" w:cstheme="minorHAnsi"/>
                      <w:color w:val="000000"/>
                      <w:sz w:val="24"/>
                      <w:szCs w:val="24"/>
                    </w:rPr>
                    <w:t>.</w:t>
                  </w:r>
                </w:p>
              </w:tc>
            </w:tr>
          </w:tbl>
          <w:p w14:paraId="5E3ED49E" w14:textId="1680FB60" w:rsidR="00154777" w:rsidRDefault="00154777" w:rsidP="00717BEE">
            <w:pPr>
              <w:rPr>
                <w:rFonts w:asciiTheme="majorHAnsi" w:hAnsiTheme="majorHAnsi" w:cs="Helvetica"/>
                <w:b/>
                <w:bCs/>
                <w:color w:val="00A499"/>
                <w:sz w:val="33"/>
                <w:szCs w:val="33"/>
              </w:rPr>
            </w:pPr>
          </w:p>
        </w:tc>
      </w:tr>
      <w:tr w:rsidR="005208FC" w:rsidRPr="007B5E36" w14:paraId="6F772E30" w14:textId="77777777" w:rsidTr="00A8169E">
        <w:tc>
          <w:tcPr>
            <w:tcW w:w="0" w:type="auto"/>
            <w:tcBorders>
              <w:top w:val="single" w:sz="12" w:space="0" w:color="FFFFFF" w:themeColor="background1"/>
            </w:tcBorders>
            <w:tcMar>
              <w:top w:w="135" w:type="dxa"/>
              <w:left w:w="0" w:type="dxa"/>
              <w:bottom w:w="0" w:type="dxa"/>
              <w:right w:w="0" w:type="dxa"/>
            </w:tcMar>
          </w:tcPr>
          <w:p w14:paraId="6FCEE6BF" w14:textId="2B919448" w:rsidR="00E46AFC" w:rsidRPr="00A60BF0" w:rsidRDefault="00E46AFC" w:rsidP="004304EE">
            <w:pPr>
              <w:rPr>
                <w:rFonts w:asciiTheme="majorHAnsi" w:eastAsia="Times New Roman" w:hAnsiTheme="majorHAnsi" w:cs="Helvetica"/>
                <w:b/>
                <w:bCs/>
                <w:color w:val="00A499"/>
                <w:sz w:val="32"/>
                <w:szCs w:val="32"/>
              </w:rPr>
            </w:pPr>
          </w:p>
        </w:tc>
      </w:tr>
    </w:tbl>
    <w:p w14:paraId="2C6A3F9E" w14:textId="77777777" w:rsidR="00F54FE1" w:rsidRDefault="00F54FE1" w:rsidP="009A4319">
      <w:pPr>
        <w:spacing w:before="150" w:after="150" w:line="360" w:lineRule="auto"/>
        <w:rPr>
          <w:rFonts w:ascii="Helvetica" w:hAnsi="Helvetica" w:cs="Helvetica"/>
          <w:b/>
          <w:bCs/>
          <w:color w:val="00A499"/>
          <w:sz w:val="33"/>
          <w:szCs w:val="33"/>
        </w:rPr>
      </w:pPr>
    </w:p>
    <w:sectPr w:rsidR="00F54FE1">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A9776" w14:textId="77777777" w:rsidR="00B8114C" w:rsidRDefault="00B8114C" w:rsidP="00BB6A3C">
      <w:r>
        <w:separator/>
      </w:r>
    </w:p>
  </w:endnote>
  <w:endnote w:type="continuationSeparator" w:id="0">
    <w:p w14:paraId="1C0F7359" w14:textId="77777777" w:rsidR="00B8114C" w:rsidRDefault="00B8114C" w:rsidP="00BB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1038" w14:textId="7C3CE3CC" w:rsidR="00FD33B6" w:rsidRPr="00FD33B6" w:rsidRDefault="00FD33B6" w:rsidP="00FD33B6">
    <w:pPr>
      <w:jc w:val="center"/>
      <w:rPr>
        <w:rFonts w:ascii="Segoe UI" w:eastAsia="Times New Roman" w:hAnsi="Segoe UI" w:cs="Segoe UI"/>
        <w:color w:val="242424"/>
        <w:sz w:val="21"/>
        <w:szCs w:val="21"/>
      </w:rPr>
    </w:pPr>
    <w:r w:rsidRPr="00FD33B6">
      <w:rPr>
        <w:rFonts w:ascii="Segoe UI" w:eastAsia="Times New Roman" w:hAnsi="Segoe UI" w:cs="Segoe UI"/>
        <w:i/>
        <w:iCs/>
        <w:color w:val="242424"/>
        <w:sz w:val="13"/>
        <w:szCs w:val="13"/>
      </w:rPr>
      <w:t>Every effort is made to ensure that the information contained in this newsletter is accurate and up to date at the time of publication.  Please be aware that information about medicines and therapeutics will change over time, and that information may not be current after the initial date of publication.  Please take note of the publication date and seek further advice if in any doubt about the accuracy of the information.</w:t>
    </w:r>
  </w:p>
  <w:p w14:paraId="47BB6C77" w14:textId="77777777" w:rsidR="00FD33B6" w:rsidRDefault="00FD33B6" w:rsidP="00FD33B6">
    <w:pPr>
      <w:jc w:val="center"/>
      <w:rPr>
        <w:rFonts w:ascii="Segoe UI" w:eastAsia="Times New Roman" w:hAnsi="Segoe UI" w:cs="Segoe UI"/>
        <w:color w:val="242424"/>
        <w:sz w:val="13"/>
        <w:szCs w:val="13"/>
      </w:rPr>
    </w:pPr>
    <w:r w:rsidRPr="00FD33B6">
      <w:rPr>
        <w:rFonts w:ascii="Segoe UI" w:eastAsia="Times New Roman" w:hAnsi="Segoe UI" w:cs="Segoe UI"/>
        <w:color w:val="242424"/>
        <w:sz w:val="13"/>
        <w:szCs w:val="13"/>
      </w:rPr>
      <w:t xml:space="preserve"> The information contained in this newsletter is the best available from the resources at our disposal at the time. Acronyms used are standard formulary. </w:t>
    </w:r>
  </w:p>
  <w:p w14:paraId="26D7239D" w14:textId="7E11F57C" w:rsidR="00FD33B6" w:rsidRPr="00FD33B6" w:rsidRDefault="00FD33B6" w:rsidP="00FD33B6">
    <w:pPr>
      <w:jc w:val="center"/>
      <w:rPr>
        <w:rFonts w:ascii="Segoe UI" w:eastAsia="Times New Roman" w:hAnsi="Segoe UI" w:cs="Segoe UI"/>
        <w:color w:val="242424"/>
        <w:sz w:val="21"/>
        <w:szCs w:val="21"/>
      </w:rPr>
    </w:pPr>
    <w:r w:rsidRPr="00FD33B6">
      <w:rPr>
        <w:rFonts w:ascii="Segoe UI" w:eastAsia="Times New Roman" w:hAnsi="Segoe UI" w:cs="Segoe UI"/>
        <w:color w:val="242424"/>
        <w:sz w:val="13"/>
        <w:szCs w:val="13"/>
      </w:rPr>
      <w:t xml:space="preserve">This newsletter is produced by the </w:t>
    </w:r>
    <w:r>
      <w:rPr>
        <w:rFonts w:ascii="Segoe UI" w:eastAsia="Times New Roman" w:hAnsi="Segoe UI" w:cs="Segoe UI"/>
        <w:color w:val="242424"/>
        <w:sz w:val="13"/>
        <w:szCs w:val="13"/>
      </w:rPr>
      <w:t xml:space="preserve">NHS Kent and Medway </w:t>
    </w:r>
    <w:r w:rsidRPr="00FD33B6">
      <w:rPr>
        <w:rFonts w:ascii="Segoe UI" w:eastAsia="Times New Roman" w:hAnsi="Segoe UI" w:cs="Segoe UI"/>
        <w:color w:val="242424"/>
        <w:sz w:val="13"/>
        <w:szCs w:val="13"/>
      </w:rPr>
      <w:t xml:space="preserve">Medicines Optimisation Team on behalf of </w:t>
    </w:r>
    <w:r>
      <w:rPr>
        <w:rFonts w:ascii="Segoe UI" w:eastAsia="Times New Roman" w:hAnsi="Segoe UI" w:cs="Segoe UI"/>
        <w:color w:val="242424"/>
        <w:sz w:val="13"/>
        <w:szCs w:val="13"/>
      </w:rPr>
      <w:t xml:space="preserve">the </w:t>
    </w:r>
    <w:r w:rsidRPr="00FD33B6">
      <w:rPr>
        <w:rFonts w:ascii="Segoe UI" w:eastAsia="Times New Roman" w:hAnsi="Segoe UI" w:cs="Segoe UI"/>
        <w:color w:val="242424"/>
        <w:sz w:val="13"/>
        <w:szCs w:val="13"/>
      </w:rPr>
      <w:t>Kent &amp; Medway ICB.</w:t>
    </w:r>
  </w:p>
  <w:p w14:paraId="267E0DC3" w14:textId="56E07F91" w:rsidR="00FD33B6" w:rsidRPr="00FD33B6" w:rsidRDefault="00FD33B6" w:rsidP="00FD33B6">
    <w:pPr>
      <w:jc w:val="center"/>
      <w:rPr>
        <w:rFonts w:ascii="Segoe UI" w:eastAsia="Times New Roman" w:hAnsi="Segoe UI" w:cs="Segoe UI"/>
        <w:color w:val="242424"/>
        <w:sz w:val="21"/>
        <w:szCs w:val="21"/>
      </w:rPr>
    </w:pPr>
    <w:r w:rsidRPr="00FD33B6">
      <w:rPr>
        <w:rFonts w:ascii="Segoe UI" w:eastAsia="Times New Roman" w:hAnsi="Segoe UI" w:cs="Segoe UI"/>
        <w:color w:val="242424"/>
        <w:sz w:val="13"/>
        <w:szCs w:val="13"/>
      </w:rPr>
      <w:t xml:space="preserve">  For all correspondence including any queries, please contact the Medicines Optimisation team email: </w:t>
    </w:r>
    <w:hyperlink r:id="rId1" w:history="1">
      <w:r w:rsidRPr="00FD33B6">
        <w:rPr>
          <w:rStyle w:val="Hyperlink"/>
          <w:rFonts w:ascii="Segoe UI" w:eastAsia="Times New Roman" w:hAnsi="Segoe UI" w:cs="Segoe UI"/>
          <w:sz w:val="13"/>
          <w:szCs w:val="13"/>
        </w:rPr>
        <w:t>kmicb.medicinesoptimisation@nhs.net</w:t>
      </w:r>
    </w:hyperlink>
    <w:r>
      <w:rPr>
        <w:rFonts w:ascii="Segoe UI" w:eastAsia="Times New Roman" w:hAnsi="Segoe UI" w:cs="Segoe UI"/>
        <w:color w:val="242424"/>
        <w:sz w:val="13"/>
        <w:szCs w:val="13"/>
        <w:u w:val="single"/>
      </w:rPr>
      <w:t xml:space="preserve"> </w:t>
    </w:r>
  </w:p>
  <w:p w14:paraId="004B3CDC" w14:textId="77777777" w:rsidR="00FD33B6" w:rsidRPr="00514586" w:rsidRDefault="00FD33B6" w:rsidP="00190384">
    <w:pPr>
      <w:spacing w:before="150" w:after="150" w:line="360" w:lineRule="auto"/>
      <w:jc w:val="center"/>
      <w:rPr>
        <w:rFonts w:ascii="Helvetica" w:hAnsi="Helvetica" w:cs="Helvetica"/>
        <w:color w:val="202020"/>
        <w:sz w:val="20"/>
        <w:szCs w:val="20"/>
      </w:rPr>
    </w:pPr>
  </w:p>
  <w:p w14:paraId="111B92CB" w14:textId="77777777" w:rsidR="00514586" w:rsidRDefault="00514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69FBD" w14:textId="77777777" w:rsidR="00B8114C" w:rsidRDefault="00B8114C" w:rsidP="00BB6A3C">
      <w:r>
        <w:separator/>
      </w:r>
    </w:p>
  </w:footnote>
  <w:footnote w:type="continuationSeparator" w:id="0">
    <w:p w14:paraId="71DF1FE6" w14:textId="77777777" w:rsidR="00B8114C" w:rsidRDefault="00B8114C" w:rsidP="00BB6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FC1906"/>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4C23B59"/>
    <w:multiLevelType w:val="hybridMultilevel"/>
    <w:tmpl w:val="9AEA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230DB"/>
    <w:multiLevelType w:val="hybridMultilevel"/>
    <w:tmpl w:val="1818A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74020A"/>
    <w:multiLevelType w:val="hybridMultilevel"/>
    <w:tmpl w:val="E7A8B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EE1F19"/>
    <w:multiLevelType w:val="hybridMultilevel"/>
    <w:tmpl w:val="5896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A0216"/>
    <w:multiLevelType w:val="hybridMultilevel"/>
    <w:tmpl w:val="5D7A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42AD7"/>
    <w:multiLevelType w:val="multilevel"/>
    <w:tmpl w:val="5600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840BD9"/>
    <w:multiLevelType w:val="multilevel"/>
    <w:tmpl w:val="8C5AF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922C9E"/>
    <w:multiLevelType w:val="hybridMultilevel"/>
    <w:tmpl w:val="169E1E08"/>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1FB066CC"/>
    <w:multiLevelType w:val="hybridMultilevel"/>
    <w:tmpl w:val="7F3491F8"/>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9711A15"/>
    <w:multiLevelType w:val="hybridMultilevel"/>
    <w:tmpl w:val="B3F4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6D117B"/>
    <w:multiLevelType w:val="hybridMultilevel"/>
    <w:tmpl w:val="9F2E3B9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37254F"/>
    <w:multiLevelType w:val="multilevel"/>
    <w:tmpl w:val="23B0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4E33F0"/>
    <w:multiLevelType w:val="hybridMultilevel"/>
    <w:tmpl w:val="1E82BC0E"/>
    <w:lvl w:ilvl="0" w:tplc="F8348894">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9627F81"/>
    <w:multiLevelType w:val="multilevel"/>
    <w:tmpl w:val="B818E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BF0592"/>
    <w:multiLevelType w:val="hybridMultilevel"/>
    <w:tmpl w:val="B25AC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2F41664"/>
    <w:multiLevelType w:val="hybridMultilevel"/>
    <w:tmpl w:val="D9BEE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7D102E"/>
    <w:multiLevelType w:val="hybridMultilevel"/>
    <w:tmpl w:val="F13ABF2E"/>
    <w:lvl w:ilvl="0" w:tplc="72965F1E">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96507D8"/>
    <w:multiLevelType w:val="multilevel"/>
    <w:tmpl w:val="35C2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2147C2"/>
    <w:multiLevelType w:val="multilevel"/>
    <w:tmpl w:val="5C7E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9768EC"/>
    <w:multiLevelType w:val="hybridMultilevel"/>
    <w:tmpl w:val="ED126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5F7517D"/>
    <w:multiLevelType w:val="hybridMultilevel"/>
    <w:tmpl w:val="C62E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E25E30"/>
    <w:multiLevelType w:val="multilevel"/>
    <w:tmpl w:val="2064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3525355">
    <w:abstractNumId w:val="0"/>
  </w:num>
  <w:num w:numId="2" w16cid:durableId="889539746">
    <w:abstractNumId w:val="10"/>
  </w:num>
  <w:num w:numId="3" w16cid:durableId="1349480140">
    <w:abstractNumId w:val="1"/>
  </w:num>
  <w:num w:numId="4" w16cid:durableId="564099012">
    <w:abstractNumId w:val="4"/>
  </w:num>
  <w:num w:numId="5" w16cid:durableId="1397629674">
    <w:abstractNumId w:val="18"/>
  </w:num>
  <w:num w:numId="6" w16cid:durableId="1390303901">
    <w:abstractNumId w:val="19"/>
  </w:num>
  <w:num w:numId="7" w16cid:durableId="662441184">
    <w:abstractNumId w:val="0"/>
    <w:lvlOverride w:ilvl="0">
      <w:startOverride w:val="1"/>
    </w:lvlOverride>
  </w:num>
  <w:num w:numId="8" w16cid:durableId="1911573717">
    <w:abstractNumId w:val="12"/>
  </w:num>
  <w:num w:numId="9" w16cid:durableId="102892722">
    <w:abstractNumId w:val="22"/>
  </w:num>
  <w:num w:numId="10" w16cid:durableId="183906492">
    <w:abstractNumId w:val="14"/>
  </w:num>
  <w:num w:numId="11" w16cid:durableId="2032756862">
    <w:abstractNumId w:val="9"/>
  </w:num>
  <w:num w:numId="12" w16cid:durableId="261039464">
    <w:abstractNumId w:val="16"/>
  </w:num>
  <w:num w:numId="13" w16cid:durableId="303898792">
    <w:abstractNumId w:val="5"/>
  </w:num>
  <w:num w:numId="14" w16cid:durableId="820463720">
    <w:abstractNumId w:val="21"/>
  </w:num>
  <w:num w:numId="15" w16cid:durableId="1541211515">
    <w:abstractNumId w:val="3"/>
  </w:num>
  <w:num w:numId="16" w16cid:durableId="1446386827">
    <w:abstractNumId w:val="11"/>
  </w:num>
  <w:num w:numId="17" w16cid:durableId="1759592721">
    <w:abstractNumId w:val="17"/>
  </w:num>
  <w:num w:numId="18" w16cid:durableId="1099712216">
    <w:abstractNumId w:val="13"/>
  </w:num>
  <w:num w:numId="19" w16cid:durableId="2061779504">
    <w:abstractNumId w:val="20"/>
  </w:num>
  <w:num w:numId="20" w16cid:durableId="638652170">
    <w:abstractNumId w:val="7"/>
    <w:lvlOverride w:ilvl="0"/>
    <w:lvlOverride w:ilvl="1"/>
    <w:lvlOverride w:ilvl="2"/>
    <w:lvlOverride w:ilvl="3"/>
    <w:lvlOverride w:ilvl="4"/>
    <w:lvlOverride w:ilvl="5"/>
    <w:lvlOverride w:ilvl="6"/>
    <w:lvlOverride w:ilvl="7"/>
    <w:lvlOverride w:ilvl="8"/>
  </w:num>
  <w:num w:numId="21" w16cid:durableId="746153771">
    <w:abstractNumId w:val="15"/>
    <w:lvlOverride w:ilvl="0"/>
    <w:lvlOverride w:ilvl="1"/>
    <w:lvlOverride w:ilvl="2"/>
    <w:lvlOverride w:ilvl="3"/>
    <w:lvlOverride w:ilvl="4"/>
    <w:lvlOverride w:ilvl="5"/>
    <w:lvlOverride w:ilvl="6"/>
    <w:lvlOverride w:ilvl="7"/>
    <w:lvlOverride w:ilvl="8"/>
  </w:num>
  <w:num w:numId="22" w16cid:durableId="1471823704">
    <w:abstractNumId w:val="6"/>
  </w:num>
  <w:num w:numId="23" w16cid:durableId="1757704826">
    <w:abstractNumId w:val="8"/>
  </w:num>
  <w:num w:numId="24" w16cid:durableId="102690873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49F2"/>
    <w:rsid w:val="00000944"/>
    <w:rsid w:val="00013951"/>
    <w:rsid w:val="00017F4B"/>
    <w:rsid w:val="00050899"/>
    <w:rsid w:val="000542FD"/>
    <w:rsid w:val="000655E4"/>
    <w:rsid w:val="0007102D"/>
    <w:rsid w:val="000803AE"/>
    <w:rsid w:val="00092826"/>
    <w:rsid w:val="000A1032"/>
    <w:rsid w:val="000A682D"/>
    <w:rsid w:val="000B4B5B"/>
    <w:rsid w:val="000C0A91"/>
    <w:rsid w:val="000C3D21"/>
    <w:rsid w:val="001149B2"/>
    <w:rsid w:val="0011778C"/>
    <w:rsid w:val="00125CFA"/>
    <w:rsid w:val="00136AB8"/>
    <w:rsid w:val="00154777"/>
    <w:rsid w:val="00190384"/>
    <w:rsid w:val="00195CF5"/>
    <w:rsid w:val="0019664C"/>
    <w:rsid w:val="00197C33"/>
    <w:rsid w:val="001A7033"/>
    <w:rsid w:val="001B660D"/>
    <w:rsid w:val="001C04D1"/>
    <w:rsid w:val="001C4318"/>
    <w:rsid w:val="001C74D0"/>
    <w:rsid w:val="001F5B0D"/>
    <w:rsid w:val="00202F93"/>
    <w:rsid w:val="002070BE"/>
    <w:rsid w:val="00226B01"/>
    <w:rsid w:val="00230F70"/>
    <w:rsid w:val="00254A89"/>
    <w:rsid w:val="0026560C"/>
    <w:rsid w:val="002866C4"/>
    <w:rsid w:val="002901FD"/>
    <w:rsid w:val="002C6C63"/>
    <w:rsid w:val="002D135D"/>
    <w:rsid w:val="002D1A3E"/>
    <w:rsid w:val="002D2C50"/>
    <w:rsid w:val="002D56C1"/>
    <w:rsid w:val="002D7939"/>
    <w:rsid w:val="002E0324"/>
    <w:rsid w:val="002E110F"/>
    <w:rsid w:val="002E65B2"/>
    <w:rsid w:val="002F02BA"/>
    <w:rsid w:val="002F0D68"/>
    <w:rsid w:val="002F6C1E"/>
    <w:rsid w:val="003124B2"/>
    <w:rsid w:val="00342E7E"/>
    <w:rsid w:val="0035012F"/>
    <w:rsid w:val="00352587"/>
    <w:rsid w:val="00354447"/>
    <w:rsid w:val="003706ED"/>
    <w:rsid w:val="00372619"/>
    <w:rsid w:val="0037367C"/>
    <w:rsid w:val="0037526C"/>
    <w:rsid w:val="00381AAE"/>
    <w:rsid w:val="00381C6E"/>
    <w:rsid w:val="00385E13"/>
    <w:rsid w:val="00396124"/>
    <w:rsid w:val="003A0D8C"/>
    <w:rsid w:val="003A238C"/>
    <w:rsid w:val="003C7F5A"/>
    <w:rsid w:val="003D0ACE"/>
    <w:rsid w:val="003F1D40"/>
    <w:rsid w:val="003F3235"/>
    <w:rsid w:val="003F3896"/>
    <w:rsid w:val="0041427C"/>
    <w:rsid w:val="0042185E"/>
    <w:rsid w:val="00424046"/>
    <w:rsid w:val="004304EE"/>
    <w:rsid w:val="004910FC"/>
    <w:rsid w:val="004938D9"/>
    <w:rsid w:val="004A2840"/>
    <w:rsid w:val="004B567E"/>
    <w:rsid w:val="004B6B3D"/>
    <w:rsid w:val="004F478A"/>
    <w:rsid w:val="00514586"/>
    <w:rsid w:val="00520079"/>
    <w:rsid w:val="005208FC"/>
    <w:rsid w:val="005266E6"/>
    <w:rsid w:val="00552558"/>
    <w:rsid w:val="005540E4"/>
    <w:rsid w:val="00563A4E"/>
    <w:rsid w:val="00575CEB"/>
    <w:rsid w:val="00580203"/>
    <w:rsid w:val="005D41E8"/>
    <w:rsid w:val="005E33E1"/>
    <w:rsid w:val="005F2E0E"/>
    <w:rsid w:val="006007F3"/>
    <w:rsid w:val="00604742"/>
    <w:rsid w:val="006127A2"/>
    <w:rsid w:val="00620EF7"/>
    <w:rsid w:val="006222B5"/>
    <w:rsid w:val="00642121"/>
    <w:rsid w:val="0064221E"/>
    <w:rsid w:val="00647897"/>
    <w:rsid w:val="00675A68"/>
    <w:rsid w:val="006A06A2"/>
    <w:rsid w:val="006B57B4"/>
    <w:rsid w:val="006C6725"/>
    <w:rsid w:val="007074F4"/>
    <w:rsid w:val="0071133F"/>
    <w:rsid w:val="00713981"/>
    <w:rsid w:val="007164C2"/>
    <w:rsid w:val="00717BEE"/>
    <w:rsid w:val="0072496B"/>
    <w:rsid w:val="0072717D"/>
    <w:rsid w:val="0075068F"/>
    <w:rsid w:val="00753E6C"/>
    <w:rsid w:val="007575C8"/>
    <w:rsid w:val="00757945"/>
    <w:rsid w:val="007829F3"/>
    <w:rsid w:val="007B5E36"/>
    <w:rsid w:val="007C6249"/>
    <w:rsid w:val="007E4E16"/>
    <w:rsid w:val="007F5940"/>
    <w:rsid w:val="007F5C92"/>
    <w:rsid w:val="00801880"/>
    <w:rsid w:val="00805A84"/>
    <w:rsid w:val="00815D94"/>
    <w:rsid w:val="0083743A"/>
    <w:rsid w:val="0085383A"/>
    <w:rsid w:val="008711D9"/>
    <w:rsid w:val="008755A1"/>
    <w:rsid w:val="00884139"/>
    <w:rsid w:val="00887718"/>
    <w:rsid w:val="0089509B"/>
    <w:rsid w:val="008A4361"/>
    <w:rsid w:val="008D58A6"/>
    <w:rsid w:val="008D6F54"/>
    <w:rsid w:val="008F4236"/>
    <w:rsid w:val="008F586B"/>
    <w:rsid w:val="00901AEA"/>
    <w:rsid w:val="009114B3"/>
    <w:rsid w:val="00912DC0"/>
    <w:rsid w:val="00925F8E"/>
    <w:rsid w:val="009425DA"/>
    <w:rsid w:val="009448AE"/>
    <w:rsid w:val="00946B90"/>
    <w:rsid w:val="009508BC"/>
    <w:rsid w:val="00976D27"/>
    <w:rsid w:val="009A0CE8"/>
    <w:rsid w:val="009A4319"/>
    <w:rsid w:val="009A4DBA"/>
    <w:rsid w:val="009C508D"/>
    <w:rsid w:val="009D345A"/>
    <w:rsid w:val="009E37A6"/>
    <w:rsid w:val="009E6BB7"/>
    <w:rsid w:val="009F5F32"/>
    <w:rsid w:val="00A22685"/>
    <w:rsid w:val="00A25866"/>
    <w:rsid w:val="00A3463B"/>
    <w:rsid w:val="00A414B9"/>
    <w:rsid w:val="00A60BF0"/>
    <w:rsid w:val="00A61838"/>
    <w:rsid w:val="00A72DB0"/>
    <w:rsid w:val="00A76139"/>
    <w:rsid w:val="00A764C3"/>
    <w:rsid w:val="00A8169E"/>
    <w:rsid w:val="00AB1014"/>
    <w:rsid w:val="00AD2B8F"/>
    <w:rsid w:val="00AE07EF"/>
    <w:rsid w:val="00B05E8A"/>
    <w:rsid w:val="00B17777"/>
    <w:rsid w:val="00B202AA"/>
    <w:rsid w:val="00B2042F"/>
    <w:rsid w:val="00B37B25"/>
    <w:rsid w:val="00B5675A"/>
    <w:rsid w:val="00B733DF"/>
    <w:rsid w:val="00B745FA"/>
    <w:rsid w:val="00B8114C"/>
    <w:rsid w:val="00B87464"/>
    <w:rsid w:val="00B90399"/>
    <w:rsid w:val="00B977F8"/>
    <w:rsid w:val="00BB102E"/>
    <w:rsid w:val="00BB6A3C"/>
    <w:rsid w:val="00BC681E"/>
    <w:rsid w:val="00BD1F79"/>
    <w:rsid w:val="00BF43AA"/>
    <w:rsid w:val="00BF6D57"/>
    <w:rsid w:val="00BF718D"/>
    <w:rsid w:val="00C01016"/>
    <w:rsid w:val="00C103E8"/>
    <w:rsid w:val="00C16D05"/>
    <w:rsid w:val="00C17A5E"/>
    <w:rsid w:val="00C17E22"/>
    <w:rsid w:val="00C349F2"/>
    <w:rsid w:val="00C376D5"/>
    <w:rsid w:val="00C445D6"/>
    <w:rsid w:val="00C61EFB"/>
    <w:rsid w:val="00C73215"/>
    <w:rsid w:val="00C738DD"/>
    <w:rsid w:val="00C77BE4"/>
    <w:rsid w:val="00C90FE9"/>
    <w:rsid w:val="00C948D8"/>
    <w:rsid w:val="00C95294"/>
    <w:rsid w:val="00CE724F"/>
    <w:rsid w:val="00D11F36"/>
    <w:rsid w:val="00D319A2"/>
    <w:rsid w:val="00D37130"/>
    <w:rsid w:val="00D50B90"/>
    <w:rsid w:val="00D635FB"/>
    <w:rsid w:val="00D74B8F"/>
    <w:rsid w:val="00D90317"/>
    <w:rsid w:val="00D95587"/>
    <w:rsid w:val="00D96D64"/>
    <w:rsid w:val="00DB459A"/>
    <w:rsid w:val="00DC7F4B"/>
    <w:rsid w:val="00DD60F8"/>
    <w:rsid w:val="00DF086E"/>
    <w:rsid w:val="00DF6663"/>
    <w:rsid w:val="00E03396"/>
    <w:rsid w:val="00E06243"/>
    <w:rsid w:val="00E062C3"/>
    <w:rsid w:val="00E24241"/>
    <w:rsid w:val="00E46AFC"/>
    <w:rsid w:val="00E803B4"/>
    <w:rsid w:val="00E866B7"/>
    <w:rsid w:val="00E97935"/>
    <w:rsid w:val="00EC578E"/>
    <w:rsid w:val="00ED71BC"/>
    <w:rsid w:val="00EF1F65"/>
    <w:rsid w:val="00EF3545"/>
    <w:rsid w:val="00F12C8E"/>
    <w:rsid w:val="00F30EA0"/>
    <w:rsid w:val="00F33E4F"/>
    <w:rsid w:val="00F4762C"/>
    <w:rsid w:val="00F52090"/>
    <w:rsid w:val="00F54FE1"/>
    <w:rsid w:val="00F64BDA"/>
    <w:rsid w:val="00F715FB"/>
    <w:rsid w:val="00F72708"/>
    <w:rsid w:val="00F732FC"/>
    <w:rsid w:val="00F778AE"/>
    <w:rsid w:val="00FA37B4"/>
    <w:rsid w:val="00FC687A"/>
    <w:rsid w:val="00FD33B6"/>
    <w:rsid w:val="00FE5A7F"/>
    <w:rsid w:val="00FF7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1007"/>
  <w15:docId w15:val="{F28FE6BB-EC92-4B96-B9DB-6C6699BB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4C2"/>
    <w:pPr>
      <w:spacing w:after="0" w:line="240" w:lineRule="auto"/>
    </w:pPr>
    <w:rPr>
      <w:rFonts w:ascii="Calibri" w:hAnsi="Calibri" w:cs="Calibri"/>
      <w:lang w:eastAsia="en-GB"/>
    </w:rPr>
  </w:style>
  <w:style w:type="paragraph" w:styleId="Heading1">
    <w:name w:val="heading 1"/>
    <w:basedOn w:val="Normal"/>
    <w:link w:val="Heading1Char"/>
    <w:uiPriority w:val="9"/>
    <w:qFormat/>
    <w:rsid w:val="00C349F2"/>
    <w:pPr>
      <w:spacing w:line="300" w:lineRule="auto"/>
      <w:outlineLvl w:val="0"/>
    </w:pPr>
    <w:rPr>
      <w:rFonts w:ascii="Helvetica" w:hAnsi="Helvetica" w:cs="Helvetica"/>
      <w:b/>
      <w:bCs/>
      <w:color w:val="202020"/>
      <w:kern w:val="36"/>
      <w:sz w:val="39"/>
      <w:szCs w:val="39"/>
    </w:rPr>
  </w:style>
  <w:style w:type="paragraph" w:styleId="Heading2">
    <w:name w:val="heading 2"/>
    <w:basedOn w:val="Normal"/>
    <w:link w:val="Heading2Char"/>
    <w:uiPriority w:val="9"/>
    <w:unhideWhenUsed/>
    <w:qFormat/>
    <w:rsid w:val="00C349F2"/>
    <w:pPr>
      <w:spacing w:line="300" w:lineRule="auto"/>
      <w:outlineLvl w:val="1"/>
    </w:pPr>
    <w:rPr>
      <w:rFonts w:ascii="Helvetica" w:hAnsi="Helvetica" w:cs="Helvetica"/>
      <w:b/>
      <w:bCs/>
      <w:color w:val="202020"/>
      <w:sz w:val="33"/>
      <w:szCs w:val="33"/>
    </w:rPr>
  </w:style>
  <w:style w:type="paragraph" w:styleId="Heading3">
    <w:name w:val="heading 3"/>
    <w:basedOn w:val="Normal"/>
    <w:next w:val="Normal"/>
    <w:link w:val="Heading3Char"/>
    <w:uiPriority w:val="9"/>
    <w:unhideWhenUsed/>
    <w:qFormat/>
    <w:rsid w:val="0085383A"/>
    <w:pPr>
      <w:keepNext/>
      <w:keepLines/>
      <w:spacing w:before="200" w:line="276" w:lineRule="auto"/>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semiHidden/>
    <w:unhideWhenUsed/>
    <w:qFormat/>
    <w:rsid w:val="0085383A"/>
    <w:pPr>
      <w:keepNext/>
      <w:keepLines/>
      <w:spacing w:before="40" w:line="276" w:lineRule="auto"/>
      <w:outlineLvl w:val="3"/>
    </w:pPr>
    <w:rPr>
      <w:rFonts w:asciiTheme="majorHAnsi" w:eastAsiaTheme="majorEastAsia" w:hAnsiTheme="majorHAnsi" w:cstheme="majorBidi"/>
      <w:i/>
      <w:iCs/>
      <w:color w:val="365F91" w:themeColor="accent1" w:themeShade="BF"/>
      <w:lang w:eastAsia="en-US"/>
    </w:rPr>
  </w:style>
  <w:style w:type="paragraph" w:styleId="Heading5">
    <w:name w:val="heading 5"/>
    <w:basedOn w:val="Normal"/>
    <w:next w:val="Normal"/>
    <w:link w:val="Heading5Char"/>
    <w:uiPriority w:val="9"/>
    <w:semiHidden/>
    <w:unhideWhenUsed/>
    <w:qFormat/>
    <w:rsid w:val="0085383A"/>
    <w:pPr>
      <w:keepNext/>
      <w:keepLines/>
      <w:spacing w:before="40" w:line="276" w:lineRule="auto"/>
      <w:outlineLvl w:val="4"/>
    </w:pPr>
    <w:rPr>
      <w:rFonts w:asciiTheme="majorHAnsi" w:eastAsiaTheme="majorEastAsia" w:hAnsiTheme="majorHAnsi" w:cstheme="majorBidi"/>
      <w:color w:val="365F91" w:themeColor="accent1" w:themeShade="BF"/>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9F2"/>
    <w:rPr>
      <w:rFonts w:ascii="Helvetica" w:hAnsi="Helvetica" w:cs="Helvetica"/>
      <w:b/>
      <w:bCs/>
      <w:color w:val="202020"/>
      <w:kern w:val="36"/>
      <w:sz w:val="39"/>
      <w:szCs w:val="39"/>
      <w:lang w:eastAsia="en-GB"/>
    </w:rPr>
  </w:style>
  <w:style w:type="character" w:customStyle="1" w:styleId="Heading2Char">
    <w:name w:val="Heading 2 Char"/>
    <w:basedOn w:val="DefaultParagraphFont"/>
    <w:link w:val="Heading2"/>
    <w:uiPriority w:val="9"/>
    <w:rsid w:val="00C349F2"/>
    <w:rPr>
      <w:rFonts w:ascii="Helvetica" w:hAnsi="Helvetica" w:cs="Helvetica"/>
      <w:b/>
      <w:bCs/>
      <w:color w:val="202020"/>
      <w:sz w:val="33"/>
      <w:szCs w:val="33"/>
      <w:lang w:eastAsia="en-GB"/>
    </w:rPr>
  </w:style>
  <w:style w:type="character" w:styleId="Hyperlink">
    <w:name w:val="Hyperlink"/>
    <w:basedOn w:val="DefaultParagraphFont"/>
    <w:uiPriority w:val="99"/>
    <w:unhideWhenUsed/>
    <w:rsid w:val="000803AE"/>
    <w:rPr>
      <w:color w:val="0000FF"/>
      <w:u w:val="single"/>
    </w:rPr>
  </w:style>
  <w:style w:type="paragraph" w:styleId="ListParagraph">
    <w:name w:val="List Paragraph"/>
    <w:basedOn w:val="Normal"/>
    <w:uiPriority w:val="34"/>
    <w:qFormat/>
    <w:rsid w:val="000803AE"/>
    <w:pPr>
      <w:spacing w:after="200" w:line="276" w:lineRule="auto"/>
      <w:ind w:left="720"/>
      <w:contextualSpacing/>
    </w:pPr>
    <w:rPr>
      <w:rFonts w:asciiTheme="minorHAnsi" w:hAnsiTheme="minorHAnsi" w:cstheme="minorBidi"/>
      <w:lang w:eastAsia="en-US"/>
    </w:rPr>
  </w:style>
  <w:style w:type="character" w:styleId="UnresolvedMention">
    <w:name w:val="Unresolved Mention"/>
    <w:basedOn w:val="DefaultParagraphFont"/>
    <w:uiPriority w:val="99"/>
    <w:semiHidden/>
    <w:unhideWhenUsed/>
    <w:rsid w:val="00C73215"/>
    <w:rPr>
      <w:color w:val="605E5C"/>
      <w:shd w:val="clear" w:color="auto" w:fill="E1DFDD"/>
    </w:rPr>
  </w:style>
  <w:style w:type="paragraph" w:styleId="Header">
    <w:name w:val="header"/>
    <w:basedOn w:val="Normal"/>
    <w:link w:val="HeaderChar"/>
    <w:uiPriority w:val="99"/>
    <w:unhideWhenUsed/>
    <w:rsid w:val="00BB6A3C"/>
    <w:pPr>
      <w:tabs>
        <w:tab w:val="center" w:pos="4513"/>
        <w:tab w:val="right" w:pos="9026"/>
      </w:tabs>
    </w:pPr>
  </w:style>
  <w:style w:type="character" w:customStyle="1" w:styleId="HeaderChar">
    <w:name w:val="Header Char"/>
    <w:basedOn w:val="DefaultParagraphFont"/>
    <w:link w:val="Header"/>
    <w:uiPriority w:val="99"/>
    <w:rsid w:val="00BB6A3C"/>
    <w:rPr>
      <w:rFonts w:ascii="Calibri" w:hAnsi="Calibri" w:cs="Calibri"/>
      <w:lang w:eastAsia="en-GB"/>
    </w:rPr>
  </w:style>
  <w:style w:type="paragraph" w:styleId="Footer">
    <w:name w:val="footer"/>
    <w:basedOn w:val="Normal"/>
    <w:link w:val="FooterChar"/>
    <w:uiPriority w:val="99"/>
    <w:unhideWhenUsed/>
    <w:rsid w:val="00BB6A3C"/>
    <w:pPr>
      <w:tabs>
        <w:tab w:val="center" w:pos="4513"/>
        <w:tab w:val="right" w:pos="9026"/>
      </w:tabs>
    </w:pPr>
  </w:style>
  <w:style w:type="character" w:customStyle="1" w:styleId="FooterChar">
    <w:name w:val="Footer Char"/>
    <w:basedOn w:val="DefaultParagraphFont"/>
    <w:link w:val="Footer"/>
    <w:uiPriority w:val="99"/>
    <w:rsid w:val="00BB6A3C"/>
    <w:rPr>
      <w:rFonts w:ascii="Calibri" w:hAnsi="Calibri" w:cs="Calibri"/>
      <w:lang w:eastAsia="en-GB"/>
    </w:rPr>
  </w:style>
  <w:style w:type="paragraph" w:styleId="ListBullet">
    <w:name w:val="List Bullet"/>
    <w:basedOn w:val="Normal"/>
    <w:uiPriority w:val="99"/>
    <w:unhideWhenUsed/>
    <w:rsid w:val="00F715FB"/>
    <w:pPr>
      <w:numPr>
        <w:numId w:val="1"/>
      </w:numPr>
      <w:contextualSpacing/>
    </w:pPr>
  </w:style>
  <w:style w:type="character" w:customStyle="1" w:styleId="Heading3Char">
    <w:name w:val="Heading 3 Char"/>
    <w:basedOn w:val="DefaultParagraphFont"/>
    <w:link w:val="Heading3"/>
    <w:uiPriority w:val="9"/>
    <w:rsid w:val="008538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5383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5383A"/>
    <w:rPr>
      <w:rFonts w:asciiTheme="majorHAnsi" w:eastAsiaTheme="majorEastAsia" w:hAnsiTheme="majorHAnsi" w:cstheme="majorBidi"/>
      <w:color w:val="365F91" w:themeColor="accent1" w:themeShade="BF"/>
    </w:rPr>
  </w:style>
  <w:style w:type="table" w:styleId="TableGrid">
    <w:name w:val="Table Grid"/>
    <w:basedOn w:val="TableNormal"/>
    <w:uiPriority w:val="59"/>
    <w:rsid w:val="00853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383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85383A"/>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5383A"/>
    <w:rPr>
      <w:color w:val="800080" w:themeColor="followedHyperlink"/>
      <w:u w:val="single"/>
    </w:rPr>
  </w:style>
  <w:style w:type="paragraph" w:customStyle="1" w:styleId="xxxmsonormal">
    <w:name w:val="x_xxmsonormal"/>
    <w:basedOn w:val="Normal"/>
    <w:rsid w:val="0085383A"/>
    <w:rPr>
      <w:rFonts w:ascii="Times New Roman" w:hAnsi="Times New Roman" w:cs="Times New Roman"/>
      <w:sz w:val="24"/>
      <w:szCs w:val="24"/>
    </w:rPr>
  </w:style>
  <w:style w:type="paragraph" w:styleId="NormalWeb">
    <w:name w:val="Normal (Web)"/>
    <w:basedOn w:val="Normal"/>
    <w:uiPriority w:val="99"/>
    <w:unhideWhenUsed/>
    <w:rsid w:val="0085383A"/>
    <w:rPr>
      <w:rFonts w:ascii="Times New Roman" w:hAnsi="Times New Roman" w:cs="Times New Roman"/>
      <w:sz w:val="24"/>
      <w:szCs w:val="24"/>
    </w:rPr>
  </w:style>
  <w:style w:type="character" w:styleId="Strong">
    <w:name w:val="Strong"/>
    <w:basedOn w:val="DefaultParagraphFont"/>
    <w:uiPriority w:val="22"/>
    <w:qFormat/>
    <w:rsid w:val="0085383A"/>
    <w:rPr>
      <w:b/>
      <w:bCs/>
    </w:rPr>
  </w:style>
  <w:style w:type="paragraph" w:customStyle="1" w:styleId="xxmsonormal">
    <w:name w:val="x_xmsonormal"/>
    <w:basedOn w:val="Normal"/>
    <w:rsid w:val="004938D9"/>
    <w:pPr>
      <w:spacing w:before="100" w:beforeAutospacing="1" w:after="100" w:afterAutospacing="1"/>
    </w:pPr>
  </w:style>
  <w:style w:type="table" w:styleId="MediumGrid2-Accent1">
    <w:name w:val="Medium Grid 2 Accent 1"/>
    <w:basedOn w:val="TableNormal"/>
    <w:uiPriority w:val="68"/>
    <w:rsid w:val="008841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emoji">
    <w:name w:val="emoji"/>
    <w:basedOn w:val="DefaultParagraphFont"/>
    <w:rsid w:val="00C16D05"/>
  </w:style>
  <w:style w:type="character" w:styleId="Emphasis">
    <w:name w:val="Emphasis"/>
    <w:basedOn w:val="DefaultParagraphFont"/>
    <w:uiPriority w:val="20"/>
    <w:qFormat/>
    <w:rsid w:val="00A72D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85587">
      <w:bodyDiv w:val="1"/>
      <w:marLeft w:val="0"/>
      <w:marRight w:val="0"/>
      <w:marTop w:val="0"/>
      <w:marBottom w:val="0"/>
      <w:divBdr>
        <w:top w:val="none" w:sz="0" w:space="0" w:color="auto"/>
        <w:left w:val="none" w:sz="0" w:space="0" w:color="auto"/>
        <w:bottom w:val="none" w:sz="0" w:space="0" w:color="auto"/>
        <w:right w:val="none" w:sz="0" w:space="0" w:color="auto"/>
      </w:divBdr>
    </w:div>
    <w:div w:id="781220163">
      <w:bodyDiv w:val="1"/>
      <w:marLeft w:val="0"/>
      <w:marRight w:val="0"/>
      <w:marTop w:val="0"/>
      <w:marBottom w:val="0"/>
      <w:divBdr>
        <w:top w:val="none" w:sz="0" w:space="0" w:color="auto"/>
        <w:left w:val="none" w:sz="0" w:space="0" w:color="auto"/>
        <w:bottom w:val="none" w:sz="0" w:space="0" w:color="auto"/>
        <w:right w:val="none" w:sz="0" w:space="0" w:color="auto"/>
      </w:divBdr>
    </w:div>
    <w:div w:id="844900796">
      <w:bodyDiv w:val="1"/>
      <w:marLeft w:val="0"/>
      <w:marRight w:val="0"/>
      <w:marTop w:val="0"/>
      <w:marBottom w:val="0"/>
      <w:divBdr>
        <w:top w:val="none" w:sz="0" w:space="0" w:color="auto"/>
        <w:left w:val="none" w:sz="0" w:space="0" w:color="auto"/>
        <w:bottom w:val="none" w:sz="0" w:space="0" w:color="auto"/>
        <w:right w:val="none" w:sz="0" w:space="0" w:color="auto"/>
      </w:divBdr>
    </w:div>
    <w:div w:id="847714551">
      <w:bodyDiv w:val="1"/>
      <w:marLeft w:val="0"/>
      <w:marRight w:val="0"/>
      <w:marTop w:val="0"/>
      <w:marBottom w:val="0"/>
      <w:divBdr>
        <w:top w:val="none" w:sz="0" w:space="0" w:color="auto"/>
        <w:left w:val="none" w:sz="0" w:space="0" w:color="auto"/>
        <w:bottom w:val="none" w:sz="0" w:space="0" w:color="auto"/>
        <w:right w:val="none" w:sz="0" w:space="0" w:color="auto"/>
      </w:divBdr>
    </w:div>
    <w:div w:id="938369272">
      <w:bodyDiv w:val="1"/>
      <w:marLeft w:val="0"/>
      <w:marRight w:val="0"/>
      <w:marTop w:val="0"/>
      <w:marBottom w:val="0"/>
      <w:divBdr>
        <w:top w:val="none" w:sz="0" w:space="0" w:color="auto"/>
        <w:left w:val="none" w:sz="0" w:space="0" w:color="auto"/>
        <w:bottom w:val="none" w:sz="0" w:space="0" w:color="auto"/>
        <w:right w:val="none" w:sz="0" w:space="0" w:color="auto"/>
      </w:divBdr>
    </w:div>
    <w:div w:id="1117410782">
      <w:bodyDiv w:val="1"/>
      <w:marLeft w:val="0"/>
      <w:marRight w:val="0"/>
      <w:marTop w:val="0"/>
      <w:marBottom w:val="0"/>
      <w:divBdr>
        <w:top w:val="none" w:sz="0" w:space="0" w:color="auto"/>
        <w:left w:val="none" w:sz="0" w:space="0" w:color="auto"/>
        <w:bottom w:val="none" w:sz="0" w:space="0" w:color="auto"/>
        <w:right w:val="none" w:sz="0" w:space="0" w:color="auto"/>
      </w:divBdr>
    </w:div>
    <w:div w:id="1144271476">
      <w:bodyDiv w:val="1"/>
      <w:marLeft w:val="0"/>
      <w:marRight w:val="0"/>
      <w:marTop w:val="0"/>
      <w:marBottom w:val="0"/>
      <w:divBdr>
        <w:top w:val="none" w:sz="0" w:space="0" w:color="auto"/>
        <w:left w:val="none" w:sz="0" w:space="0" w:color="auto"/>
        <w:bottom w:val="none" w:sz="0" w:space="0" w:color="auto"/>
        <w:right w:val="none" w:sz="0" w:space="0" w:color="auto"/>
      </w:divBdr>
    </w:div>
    <w:div w:id="1235891865">
      <w:bodyDiv w:val="1"/>
      <w:marLeft w:val="0"/>
      <w:marRight w:val="0"/>
      <w:marTop w:val="0"/>
      <w:marBottom w:val="0"/>
      <w:divBdr>
        <w:top w:val="none" w:sz="0" w:space="0" w:color="auto"/>
        <w:left w:val="none" w:sz="0" w:space="0" w:color="auto"/>
        <w:bottom w:val="none" w:sz="0" w:space="0" w:color="auto"/>
        <w:right w:val="none" w:sz="0" w:space="0" w:color="auto"/>
      </w:divBdr>
    </w:div>
    <w:div w:id="1374696015">
      <w:bodyDiv w:val="1"/>
      <w:marLeft w:val="0"/>
      <w:marRight w:val="0"/>
      <w:marTop w:val="0"/>
      <w:marBottom w:val="0"/>
      <w:divBdr>
        <w:top w:val="none" w:sz="0" w:space="0" w:color="auto"/>
        <w:left w:val="none" w:sz="0" w:space="0" w:color="auto"/>
        <w:bottom w:val="none" w:sz="0" w:space="0" w:color="auto"/>
        <w:right w:val="none" w:sz="0" w:space="0" w:color="auto"/>
      </w:divBdr>
    </w:div>
    <w:div w:id="1388648770">
      <w:bodyDiv w:val="1"/>
      <w:marLeft w:val="0"/>
      <w:marRight w:val="0"/>
      <w:marTop w:val="0"/>
      <w:marBottom w:val="0"/>
      <w:divBdr>
        <w:top w:val="none" w:sz="0" w:space="0" w:color="auto"/>
        <w:left w:val="none" w:sz="0" w:space="0" w:color="auto"/>
        <w:bottom w:val="none" w:sz="0" w:space="0" w:color="auto"/>
        <w:right w:val="none" w:sz="0" w:space="0" w:color="auto"/>
      </w:divBdr>
    </w:div>
    <w:div w:id="1399786895">
      <w:bodyDiv w:val="1"/>
      <w:marLeft w:val="0"/>
      <w:marRight w:val="0"/>
      <w:marTop w:val="0"/>
      <w:marBottom w:val="0"/>
      <w:divBdr>
        <w:top w:val="none" w:sz="0" w:space="0" w:color="auto"/>
        <w:left w:val="none" w:sz="0" w:space="0" w:color="auto"/>
        <w:bottom w:val="none" w:sz="0" w:space="0" w:color="auto"/>
        <w:right w:val="none" w:sz="0" w:space="0" w:color="auto"/>
      </w:divBdr>
    </w:div>
    <w:div w:id="1508594842">
      <w:bodyDiv w:val="1"/>
      <w:marLeft w:val="0"/>
      <w:marRight w:val="0"/>
      <w:marTop w:val="0"/>
      <w:marBottom w:val="0"/>
      <w:divBdr>
        <w:top w:val="none" w:sz="0" w:space="0" w:color="auto"/>
        <w:left w:val="none" w:sz="0" w:space="0" w:color="auto"/>
        <w:bottom w:val="none" w:sz="0" w:space="0" w:color="auto"/>
        <w:right w:val="none" w:sz="0" w:space="0" w:color="auto"/>
      </w:divBdr>
    </w:div>
    <w:div w:id="1568029728">
      <w:bodyDiv w:val="1"/>
      <w:marLeft w:val="0"/>
      <w:marRight w:val="0"/>
      <w:marTop w:val="0"/>
      <w:marBottom w:val="0"/>
      <w:divBdr>
        <w:top w:val="none" w:sz="0" w:space="0" w:color="auto"/>
        <w:left w:val="none" w:sz="0" w:space="0" w:color="auto"/>
        <w:bottom w:val="none" w:sz="0" w:space="0" w:color="auto"/>
        <w:right w:val="none" w:sz="0" w:space="0" w:color="auto"/>
      </w:divBdr>
    </w:div>
    <w:div w:id="1841576840">
      <w:bodyDiv w:val="1"/>
      <w:marLeft w:val="0"/>
      <w:marRight w:val="0"/>
      <w:marTop w:val="0"/>
      <w:marBottom w:val="0"/>
      <w:divBdr>
        <w:top w:val="none" w:sz="0" w:space="0" w:color="auto"/>
        <w:left w:val="none" w:sz="0" w:space="0" w:color="auto"/>
        <w:bottom w:val="none" w:sz="0" w:space="0" w:color="auto"/>
        <w:right w:val="none" w:sz="0" w:space="0" w:color="auto"/>
      </w:divBdr>
    </w:div>
    <w:div w:id="1863518303">
      <w:bodyDiv w:val="1"/>
      <w:marLeft w:val="0"/>
      <w:marRight w:val="0"/>
      <w:marTop w:val="0"/>
      <w:marBottom w:val="0"/>
      <w:divBdr>
        <w:top w:val="none" w:sz="0" w:space="0" w:color="auto"/>
        <w:left w:val="none" w:sz="0" w:space="0" w:color="auto"/>
        <w:bottom w:val="none" w:sz="0" w:space="0" w:color="auto"/>
        <w:right w:val="none" w:sz="0" w:space="0" w:color="auto"/>
      </w:divBdr>
    </w:div>
    <w:div w:id="1989632270">
      <w:bodyDiv w:val="1"/>
      <w:marLeft w:val="0"/>
      <w:marRight w:val="0"/>
      <w:marTop w:val="0"/>
      <w:marBottom w:val="0"/>
      <w:divBdr>
        <w:top w:val="none" w:sz="0" w:space="0" w:color="auto"/>
        <w:left w:val="none" w:sz="0" w:space="0" w:color="auto"/>
        <w:bottom w:val="none" w:sz="0" w:space="0" w:color="auto"/>
        <w:right w:val="none" w:sz="0" w:space="0" w:color="auto"/>
      </w:divBdr>
    </w:div>
    <w:div w:id="2002922152">
      <w:bodyDiv w:val="1"/>
      <w:marLeft w:val="0"/>
      <w:marRight w:val="0"/>
      <w:marTop w:val="0"/>
      <w:marBottom w:val="0"/>
      <w:divBdr>
        <w:top w:val="none" w:sz="0" w:space="0" w:color="auto"/>
        <w:left w:val="none" w:sz="0" w:space="0" w:color="auto"/>
        <w:bottom w:val="none" w:sz="0" w:space="0" w:color="auto"/>
        <w:right w:val="none" w:sz="0" w:space="0" w:color="auto"/>
      </w:divBdr>
    </w:div>
    <w:div w:id="2018849572">
      <w:bodyDiv w:val="1"/>
      <w:marLeft w:val="0"/>
      <w:marRight w:val="0"/>
      <w:marTop w:val="0"/>
      <w:marBottom w:val="0"/>
      <w:divBdr>
        <w:top w:val="none" w:sz="0" w:space="0" w:color="auto"/>
        <w:left w:val="none" w:sz="0" w:space="0" w:color="auto"/>
        <w:bottom w:val="none" w:sz="0" w:space="0" w:color="auto"/>
        <w:right w:val="none" w:sz="0" w:space="0" w:color="auto"/>
      </w:divBdr>
    </w:div>
    <w:div w:id="2061320212">
      <w:bodyDiv w:val="1"/>
      <w:marLeft w:val="0"/>
      <w:marRight w:val="0"/>
      <w:marTop w:val="0"/>
      <w:marBottom w:val="0"/>
      <w:divBdr>
        <w:top w:val="none" w:sz="0" w:space="0" w:color="auto"/>
        <w:left w:val="none" w:sz="0" w:space="0" w:color="auto"/>
        <w:bottom w:val="none" w:sz="0" w:space="0" w:color="auto"/>
        <w:right w:val="none" w:sz="0" w:space="0" w:color="auto"/>
      </w:divBdr>
    </w:div>
    <w:div w:id="2116944274">
      <w:bodyDiv w:val="1"/>
      <w:marLeft w:val="0"/>
      <w:marRight w:val="0"/>
      <w:marTop w:val="0"/>
      <w:marBottom w:val="0"/>
      <w:divBdr>
        <w:top w:val="none" w:sz="0" w:space="0" w:color="auto"/>
        <w:left w:val="none" w:sz="0" w:space="0" w:color="auto"/>
        <w:bottom w:val="none" w:sz="0" w:space="0" w:color="auto"/>
        <w:right w:val="none" w:sz="0" w:space="0" w:color="auto"/>
      </w:divBdr>
    </w:div>
    <w:div w:id="2120374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pharmacyuk@dexcom.com" TargetMode="External"/><Relationship Id="rId18" Type="http://schemas.openxmlformats.org/officeDocument/2006/relationships/oleObject" Target="embeddings/oleObject1.bin"/><Relationship Id="rId26" Type="http://schemas.openxmlformats.org/officeDocument/2006/relationships/hyperlink" Target="https://www.choiceandmedication.org/kmpt/" TargetMode="External"/><Relationship Id="rId39" Type="http://schemas.openxmlformats.org/officeDocument/2006/relationships/hyperlink" Target="https://www.cas.mhra.gov.uk/Home.aspx" TargetMode="External"/><Relationship Id="rId21" Type="http://schemas.openxmlformats.org/officeDocument/2006/relationships/hyperlink" Target="https://gbr01.safelinks.protection.outlook.com/?url=https%3A%2F%2Fwww.rightbreathe.com%2Fmedicines%2Feasyhaler-salbutamol-sulfate-100microgramsdose-dry-powder-inhaler-orion-pharma-uk-ltd-200-dose%2F%3Fs%3D%26device_type%3D%26drug_class%3DSABA%26drug_name%3D%26device_type%3D&amp;data=05%7C01%7Cp.khaira1%40nhs.net%7Cd98e6d622dce4520a3cb08db168217b0%7C37c354b285b047f5b22207b48d774ee3%7C0%7C0%7C638128520209942009%7CUnknown%7CTWFpbGZsb3d8eyJWIjoiMC4wLjAwMDAiLCJQIjoiV2luMzIiLCJBTiI6Ik1haWwiLCJXVCI6Mn0%3D%7C3000%7C%7C%7C&amp;sdata=tPkIqWGvLU68%2BaB8O8JU4EZJEvoHbds9kuJJEo5qaYc%3D&amp;reserved=0" TargetMode="External"/><Relationship Id="rId34" Type="http://schemas.openxmlformats.org/officeDocument/2006/relationships/hyperlink" Target="https://yellowcard.mhra.gov.uk/"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br01.safelinks.protection.outlook.com/?url=https%3A%2F%2Fprimarycarebulletin.cmail19.com%2Ft%2Fd-l-zdjtuit-jutjpwut-y%2F&amp;data=05%7C01%7Csolaju.akeremale%40nhs.net%7C46bb3f98d2ff4dd1436208db1f0d4187%7C37c354b285b047f5b22207b48d774ee3%7C0%7C0%7C638137914011115809%7CUnknown%7CTWFpbGZsb3d8eyJWIjoiMC4wLjAwMDAiLCJQIjoiV2luMzIiLCJBTiI6Ik1haWwiLCJXVCI6Mn0%3D%7C3000%7C%7C%7C&amp;sdata=8ow%2FiE4N8PdGMb33MFhoWYgmx1pNdEUxC7ns4mc49XU%3D&amp;reserved=0" TargetMode="External"/><Relationship Id="rId20" Type="http://schemas.openxmlformats.org/officeDocument/2006/relationships/image" Target="cid:image002.png@01D9486E.8F59CDD0" TargetMode="External"/><Relationship Id="rId29" Type="http://schemas.openxmlformats.org/officeDocument/2006/relationships/hyperlink" Target="https://www.gov.uk/drug-safety-update" TargetMode="External"/><Relationship Id="rId41" Type="http://schemas.openxmlformats.org/officeDocument/2006/relationships/hyperlink" Target="https://www.sps.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gbr01.safelinks.protection.outlook.com/?url=https%3A%2F%2Fwww.nice.org.uk%2Fguidance%2Fcg181&amp;data=05%7C01%7Clindsey.williamson%40nhs.net%7C4a43c1f29f494f36d22808db1e54de94%7C37c354b285b047f5b22207b48d774ee3%7C0%7C0%7C638137122070677498%7CUnknown%7CTWFpbGZsb3d8eyJWIjoiMC4wLjAwMDAiLCJQIjoiV2luMzIiLCJBTiI6Ik1haWwiLCJXVCI6Mn0%3D%7C3000%7C%7C%7C&amp;sdata=RzYskozlpy5Gl7Ufwfl7ov3opPFCprtA9tgqr5sJnZI%3D&amp;reserved=0" TargetMode="External"/><Relationship Id="rId32" Type="http://schemas.openxmlformats.org/officeDocument/2006/relationships/hyperlink" Target="https://www.gov.uk/drug-safety-update/topical-testosterone-testogel-risk-of-harm-to-children-following-accidental-exposure" TargetMode="External"/><Relationship Id="rId37" Type="http://schemas.openxmlformats.org/officeDocument/2006/relationships/hyperlink" Target="https://www.gov.uk/drug-safety-update/covid-19-vaccines-and-medicines-updates-for-february-2023" TargetMode="External"/><Relationship Id="rId40" Type="http://schemas.openxmlformats.org/officeDocument/2006/relationships/hyperlink" Target="https://gbr01.safelinks.protection.outlook.com/?url=https%3A%2F%2Flnks.gd%2Fl%2FeyJhbGciOiJIUzI1NiJ9.eyJidWxsZXRpbl9saW5rX2lkIjoxMDAsInVyaSI6ImJwMjpjbGljayIsImJ1bGxldGluX2lkIjoiMjAyMzAzMTYuNzM0MzM1NjEiLCJ1cmwiOiJodHRwczovL3d3dy5nb3YudWsvZHJ1Zy1kZXZpY2UtYWxlcnRzL2NsYXNzLTQtbWVkaWNpbmVzLWRlZmVjdC1pbmZvcm1hdGlvbi1tYWNhcnRoeXMtbGFib3JhdG9yaWVzLXQtc2xhc2gtYS1tYXJ0aW5kYWxlLXBoYXJtYS12ZW5sYWZheGluZS14bC0xNTBtZy0yMjVtZy0zMDBtZy1wcm9sb25nZWQtcmVsZWFzZS10YWJsZXRzLWVsLTIzLWEtc2xhc2gtMTAifQ.Upkw9nyN4c8ylPUkZfWeWLxFaVS94W2En6nqBI2jBwg%2Fs%2F1795415544%2Fbr%2F156234457375-l&amp;data=05%7C01%7Csolaju.akeremale%40nhs.net%7C08cd233030c043c7f40b08db26f6a6ae%7C37c354b285b047f5b22207b48d774ee3%7C0%7C0%7C638146613018746623%7CUnknown%7CTWFpbGZsb3d8eyJWIjoiMC4wLjAwMDAiLCJQIjoiV2luMzIiLCJBTiI6Ik1haWwiLCJXVCI6Mn0%3D%7C3000%7C%7C%7C&amp;sdata=K6PycTzMFp0jqiTLq1fKHCAx6yhqzYldYe2wq1h2%2Fj0%3D&amp;reserved=0" TargetMode="External"/><Relationship Id="rId5" Type="http://schemas.openxmlformats.org/officeDocument/2006/relationships/numbering" Target="numbering.xml"/><Relationship Id="rId15" Type="http://schemas.openxmlformats.org/officeDocument/2006/relationships/hyperlink" Target="https://gbr01.safelinks.protection.outlook.com/?url=https%3A%2F%2Fprimarycarebulletin.cmail19.com%2Ft%2Fd-l-zdjtuit-jutjpwut-r%2F&amp;data=05%7C01%7Csolaju.akeremale%40nhs.net%7C46bb3f98d2ff4dd1436208db1f0d4187%7C37c354b285b047f5b22207b48d774ee3%7C0%7C0%7C638137914011115809%7CUnknown%7CTWFpbGZsb3d8eyJWIjoiMC4wLjAwMDAiLCJQIjoiV2luMzIiLCJBTiI6Ik1haWwiLCJXVCI6Mn0%3D%7C3000%7C%7C%7C&amp;sdata=4NgbqyB9Y2IKjfPJh9UcZOjAzGnEV86Olsxt55mT0io%3D&amp;reserved=0" TargetMode="External"/><Relationship Id="rId23" Type="http://schemas.openxmlformats.org/officeDocument/2006/relationships/hyperlink" Target="https://gbr01.safelinks.protection.outlook.com/?url=https%3A%2F%2Fnhs.us19.list-manage.com%2Ftrack%2Fclick%3Fu%3Dae3825bedab437264acc6843f%26id%3Dba0d45a9ac%26e%3D86eac947d6&amp;data=05%7C01%7Csolaju.akeremale%40nhs.net%7Caec8e6b2a84c4bdbec9008db2923ff77%7C37c354b285b047f5b22207b48d774ee3%7C0%7C0%7C638149006798249254%7CUnknown%7CTWFpbGZsb3d8eyJWIjoiMC4wLjAwMDAiLCJQIjoiV2luMzIiLCJBTiI6Ik1haWwiLCJXVCI6Mn0%3D%7C3000%7C%7C%7C&amp;sdata=CdM6po5kzKDfc%2FpCMa4zpn%2BNq4btXMz9pj9rDlVkIvc%3D&amp;reserved=0" TargetMode="External"/><Relationship Id="rId28" Type="http://schemas.openxmlformats.org/officeDocument/2006/relationships/hyperlink" Target="https://gbr01.safelinks.protection.outlook.com/?url=https%3A%2F%2Fwww.kmpt.nhs.uk%2Finformation-and-advice%2Fmedication-information%2F&amp;data=05%7C01%7Cp.khaira1%40nhs.net%7C0b6d84e01ce84934536f08db1e4c645d%7C37c354b285b047f5b22207b48d774ee3%7C0%7C0%7C638137085662368139%7CUnknown%7CTWFpbGZsb3d8eyJWIjoiMC4wLjAwMDAiLCJQIjoiV2luMzIiLCJBTiI6Ik1haWwiLCJXVCI6Mn0%3D%7C3000%7C%7C%7C&amp;sdata=1rHNd%2F3HnP1lpEZkzsAH5weyB8a40sWmPwXQLMLDHuo%3D&amp;reserved=0" TargetMode="External"/><Relationship Id="rId36" Type="http://schemas.openxmlformats.org/officeDocument/2006/relationships/hyperlink" Target="https://www.gov.uk/drug-safety-update/letters-and-medicine-recalls-sent-to-healthcare-professionals-in-december-2022"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www.gov.uk/drug-safety-update/topical-testosterone-testogel-risk-of-harm-to-children-following-accidental-exposur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nhs.us19.list-manage.com%2Ftrack%2Fclick%3Fu%3Dae3825bedab437264acc6843f%26id%3Dbcae6f0183%26e%3Dc77f1d06fd&amp;data=05%7C01%7Csolaju.akeremale%40nhs.net%7C337864c56fa845b0f82a08db24ab76f4%7C37c354b285b047f5b22207b48d774ee3%7C0%7C0%7C638144091064344703%7CUnknown%7CTWFpbGZsb3d8eyJWIjoiMC4wLjAwMDAiLCJQIjoiV2luMzIiLCJBTiI6Ik1haWwiLCJXVCI6Mn0%3D%7C3000%7C%7C%7C&amp;sdata=ysY706itpn540i3%2BtyJjmzYc19%2FGElduWe4uRT49dng%3D&amp;reserved=0" TargetMode="External"/><Relationship Id="rId22" Type="http://schemas.openxmlformats.org/officeDocument/2006/relationships/hyperlink" Target="https://www.gov.uk/drug-safety-update/xaqua-metolazone-5mg-tablets-exercise-caution-when-switching-patients-between-metolazone-preparations" TargetMode="External"/><Relationship Id="rId27" Type="http://schemas.openxmlformats.org/officeDocument/2006/relationships/hyperlink" Target="file:///\\KentMedway.XSWHealth.nhs.uk\ICB\Home\Solaju.Akeremale\Documents\KMPT%20|%20Medication%20information" TargetMode="External"/><Relationship Id="rId30" Type="http://schemas.openxmlformats.org/officeDocument/2006/relationships/hyperlink" Target="https://www.gov.uk/drug-safety-update/xaqua-metolazone-5mg-tablets-exercise-caution-when-switching-patients-between-metolazone-preparations" TargetMode="External"/><Relationship Id="rId35" Type="http://schemas.openxmlformats.org/officeDocument/2006/relationships/hyperlink" Target="https://www.gov.uk/drug-safety-update/covid-19-vaccines-and-medicines-updates-for-january-2023"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gbr01.safelinks.protection.outlook.com/?url=https%3A%2F%2Fwww.kentandmedway.icb.nhs.uk%2Fabout-us%2Fwho-we-are%2Fmedicines-optimisation&amp;data=05%7C01%7Csolaju.akeremale%40nhs.net%7Cb14ef5b5f2b744bc1c0808db23de18c9%7C37c354b285b047f5b22207b48d774ee3%7C0%7C0%7C638143209032104164%7CUnknown%7CTWFpbGZsb3d8eyJWIjoiMC4wLjAwMDAiLCJQIjoiV2luMzIiLCJBTiI6Ik1haWwiLCJXVCI6Mn0%3D%7C3000%7C%7C%7C&amp;sdata=ye1ajjtFO6a36JIuBEIE2bE7z%2FixcR5b8Yd%2BnTaAZLo%3D&amp;reserved=0" TargetMode="External"/><Relationship Id="rId17" Type="http://schemas.openxmlformats.org/officeDocument/2006/relationships/image" Target="media/image2.emf"/><Relationship Id="rId25" Type="http://schemas.openxmlformats.org/officeDocument/2006/relationships/hyperlink" Target="https://gbr01.safelinks.protection.outlook.com/?url=https%3A%2F%2Fwww.nice.org.uk%2Fguidance%2Fcg181%2Fresources%2F2023-exceptional-surveillance-of-cardiovascular-disease-risk-assessment-and-reduction-including-lipid-modification-nice-guideline-cg181-11322671149%2Fchapter%2FSurveillance-decision%3Ftab%3Devidence&amp;data=05%7C01%7Clindsey.williamson%40nhs.net%7C4a43c1f29f494f36d22808db1e54de94%7C37c354b285b047f5b22207b48d774ee3%7C0%7C0%7C638137122070677498%7CUnknown%7CTWFpbGZsb3d8eyJWIjoiMC4wLjAwMDAiLCJQIjoiV2luMzIiLCJBTiI6Ik1haWwiLCJXVCI6Mn0%3D%7C3000%7C%7C%7C&amp;sdata=fiUsARKgFdFkviRRwtn6R7wm4J4Nnk94HOdPBdp3HEw%3D&amp;reserved=0" TargetMode="External"/><Relationship Id="rId33" Type="http://schemas.openxmlformats.org/officeDocument/2006/relationships/hyperlink" Target="https://www.gov.uk/drug-safety-update/electronic-prescribing-and-medicines-administration-systems-report-adverse-incidents-on-a-yellow-card" TargetMode="External"/><Relationship Id="rId38" Type="http://schemas.openxmlformats.org/officeDocument/2006/relationships/hyperlink" Target="https://www.gov.uk/drug-safety-update/letters-and-medicine-recalls-sent-to-healthcare-professionals-in-january-202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micb.medicinesoptimisatio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4A1C434E910648B716F1B8A4452C7C" ma:contentTypeVersion="14" ma:contentTypeDescription="Create a new document." ma:contentTypeScope="" ma:versionID="6426a48f5d00ef1aae24c06b6b71eb87">
  <xsd:schema xmlns:xsd="http://www.w3.org/2001/XMLSchema" xmlns:xs="http://www.w3.org/2001/XMLSchema" xmlns:p="http://schemas.microsoft.com/office/2006/metadata/properties" xmlns:ns3="a8e734a9-52cf-49e3-bcde-90df6cef9c0a" xmlns:ns4="fc8c83e1-e4af-414a-b3b5-326eb82e57bc" targetNamespace="http://schemas.microsoft.com/office/2006/metadata/properties" ma:root="true" ma:fieldsID="fa62d7638be8c72fcc7562784edfb5ee" ns3:_="" ns4:_="">
    <xsd:import namespace="a8e734a9-52cf-49e3-bcde-90df6cef9c0a"/>
    <xsd:import namespace="fc8c83e1-e4af-414a-b3b5-326eb82e57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734a9-52cf-49e3-bcde-90df6cef9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c83e1-e4af-414a-b3b5-326eb82e57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19015-9D20-494F-AF73-EC3E4156B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CB2B1C-F556-4616-B905-70D1E2EA90B9}">
  <ds:schemaRefs>
    <ds:schemaRef ds:uri="http://schemas.microsoft.com/sharepoint/v3/contenttype/forms"/>
  </ds:schemaRefs>
</ds:datastoreItem>
</file>

<file path=customXml/itemProps3.xml><?xml version="1.0" encoding="utf-8"?>
<ds:datastoreItem xmlns:ds="http://schemas.openxmlformats.org/officeDocument/2006/customXml" ds:itemID="{33C47E44-19EC-4778-8CDB-CE781D3A9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734a9-52cf-49e3-bcde-90df6cef9c0a"/>
    <ds:schemaRef ds:uri="fc8c83e1-e4af-414a-b3b5-326eb82e5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769183-91AB-4FD9-A00D-25D06E5268B0}">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164</TotalTime>
  <Pages>10</Pages>
  <Words>3114</Words>
  <Characters>17751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Alex (NHS KENT AND MEDWAY CCG)</dc:creator>
  <cp:keywords/>
  <dc:description/>
  <cp:lastModifiedBy>AKEREMALE, Solaju (NHS KENT AND MEDWAY ICB - 91Q)</cp:lastModifiedBy>
  <cp:revision>2</cp:revision>
  <cp:lastPrinted>2023-03-22T11:25:00Z</cp:lastPrinted>
  <dcterms:created xsi:type="dcterms:W3CDTF">2023-03-21T10:42:00Z</dcterms:created>
  <dcterms:modified xsi:type="dcterms:W3CDTF">2023-03-22T16:21:00Z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0x010100204A1C434E910648B716F1B8A4452C7C</vt:lpwstr>
  </property>
</Properties>
</file>