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28F0" w14:textId="0D9A7441" w:rsidR="00C349F2" w:rsidRDefault="00647897" w:rsidP="002760D5">
      <w:pPr>
        <w:jc w:val="right"/>
        <w:rPr>
          <w:rFonts w:eastAsia="Times New Roman"/>
        </w:rPr>
      </w:pPr>
      <w:r>
        <w:rPr>
          <w:noProof/>
        </w:rPr>
        <w:drawing>
          <wp:inline distT="0" distB="0" distL="0" distR="0" wp14:anchorId="7C509A6E" wp14:editId="3B415849">
            <wp:extent cx="2266950" cy="1120262"/>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4298" cy="1123893"/>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C349F2" w14:paraId="7D464991" w14:textId="77777777" w:rsidTr="00C349F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C349F2" w14:paraId="57AD3833" w14:textId="77777777">
              <w:trPr>
                <w:jc w:val="center"/>
              </w:trPr>
              <w:tc>
                <w:tcPr>
                  <w:tcW w:w="0" w:type="auto"/>
                  <w:hideMark/>
                </w:tcPr>
                <w:p w14:paraId="12E03CB2" w14:textId="77777777" w:rsidR="00C349F2" w:rsidRDefault="00C349F2">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349F2" w14:paraId="09C71E6D" w14:textId="77777777">
                    <w:tc>
                      <w:tcPr>
                        <w:tcW w:w="0" w:type="auto"/>
                        <w:tcMar>
                          <w:top w:w="135" w:type="dxa"/>
                          <w:left w:w="270" w:type="dxa"/>
                          <w:bottom w:w="135" w:type="dxa"/>
                          <w:right w:w="270" w:type="dxa"/>
                        </w:tcMar>
                        <w:vAlign w:val="center"/>
                        <w:hideMark/>
                      </w:tcPr>
                      <w:tbl>
                        <w:tblPr>
                          <w:tblW w:w="5000" w:type="pct"/>
                          <w:shd w:val="clear" w:color="auto" w:fill="00A499"/>
                          <w:tblLook w:val="04A0" w:firstRow="1" w:lastRow="0" w:firstColumn="1" w:lastColumn="0" w:noHBand="0" w:noVBand="1"/>
                        </w:tblPr>
                        <w:tblGrid>
                          <w:gridCol w:w="8480"/>
                        </w:tblGrid>
                        <w:tr w:rsidR="00C349F2" w14:paraId="718B434D" w14:textId="77777777">
                          <w:tc>
                            <w:tcPr>
                              <w:tcW w:w="0" w:type="auto"/>
                              <w:shd w:val="clear" w:color="auto" w:fill="00A499"/>
                              <w:tcMar>
                                <w:top w:w="270" w:type="dxa"/>
                                <w:left w:w="270" w:type="dxa"/>
                                <w:bottom w:w="270" w:type="dxa"/>
                                <w:right w:w="270" w:type="dxa"/>
                              </w:tcMar>
                              <w:hideMark/>
                            </w:tcPr>
                            <w:p w14:paraId="3F85228D" w14:textId="02C492C9" w:rsidR="00C349F2" w:rsidRDefault="00C349F2">
                              <w:pPr>
                                <w:pStyle w:val="Heading1"/>
                                <w:rPr>
                                  <w:rFonts w:eastAsia="Times New Roman"/>
                                </w:rPr>
                              </w:pPr>
                              <w:r>
                                <w:rPr>
                                  <w:rFonts w:eastAsia="Times New Roman"/>
                                  <w:color w:val="FFFFFF"/>
                                  <w:sz w:val="36"/>
                                  <w:szCs w:val="36"/>
                                </w:rPr>
                                <w:t xml:space="preserve">Medicines Optimisation </w:t>
                              </w:r>
                              <w:r w:rsidR="00647897">
                                <w:rPr>
                                  <w:rFonts w:eastAsia="Times New Roman"/>
                                  <w:color w:val="FFFFFF"/>
                                  <w:sz w:val="36"/>
                                  <w:szCs w:val="36"/>
                                </w:rPr>
                                <w:t xml:space="preserve">updates </w:t>
                              </w:r>
                              <w:r>
                                <w:rPr>
                                  <w:rFonts w:eastAsia="Times New Roman"/>
                                  <w:color w:val="FFFFFF"/>
                                  <w:sz w:val="36"/>
                                  <w:szCs w:val="36"/>
                                </w:rPr>
                                <w:t xml:space="preserve">– </w:t>
                              </w:r>
                              <w:r w:rsidR="00647897">
                                <w:rPr>
                                  <w:rFonts w:eastAsia="Times New Roman"/>
                                  <w:color w:val="FFFFFF"/>
                                  <w:sz w:val="36"/>
                                  <w:szCs w:val="36"/>
                                </w:rPr>
                                <w:t>[</w:t>
                              </w:r>
                              <w:r w:rsidR="00F173F5">
                                <w:rPr>
                                  <w:rFonts w:eastAsia="Times New Roman"/>
                                  <w:color w:val="FFFFFF"/>
                                  <w:sz w:val="36"/>
                                  <w:szCs w:val="36"/>
                                </w:rPr>
                                <w:t xml:space="preserve">May 2023 </w:t>
                              </w:r>
                              <w:r w:rsidR="00647897">
                                <w:rPr>
                                  <w:rFonts w:eastAsia="Times New Roman"/>
                                  <w:color w:val="FFFFFF"/>
                                  <w:sz w:val="36"/>
                                  <w:szCs w:val="36"/>
                                </w:rPr>
                                <w:t>issue</w:t>
                              </w:r>
                              <w:r w:rsidR="00F173F5">
                                <w:rPr>
                                  <w:rFonts w:eastAsia="Times New Roman"/>
                                  <w:color w:val="FFFFFF"/>
                                  <w:sz w:val="36"/>
                                  <w:szCs w:val="36"/>
                                </w:rPr>
                                <w:t xml:space="preserve"> 46</w:t>
                              </w:r>
                              <w:r w:rsidR="00647897">
                                <w:rPr>
                                  <w:rFonts w:eastAsia="Times New Roman"/>
                                  <w:color w:val="FFFFFF"/>
                                  <w:sz w:val="36"/>
                                  <w:szCs w:val="36"/>
                                </w:rPr>
                                <w:t>]</w:t>
                              </w:r>
                            </w:p>
                          </w:tc>
                        </w:tr>
                      </w:tbl>
                      <w:p w14:paraId="06A1D723" w14:textId="77777777" w:rsidR="00C349F2" w:rsidRDefault="00C349F2">
                        <w:pPr>
                          <w:rPr>
                            <w:rFonts w:ascii="Times New Roman" w:eastAsia="Times New Roman" w:hAnsi="Times New Roman" w:cs="Times New Roman"/>
                            <w:sz w:val="20"/>
                            <w:szCs w:val="20"/>
                          </w:rPr>
                        </w:pPr>
                      </w:p>
                    </w:tc>
                  </w:tr>
                </w:tbl>
                <w:p w14:paraId="36E704BB" w14:textId="77777777" w:rsidR="00C349F2" w:rsidRDefault="00C349F2">
                  <w:pPr>
                    <w:rPr>
                      <w:rFonts w:ascii="Times New Roman" w:eastAsia="Times New Roman" w:hAnsi="Times New Roman" w:cs="Times New Roman"/>
                      <w:sz w:val="20"/>
                      <w:szCs w:val="20"/>
                    </w:rPr>
                  </w:pPr>
                </w:p>
              </w:tc>
            </w:tr>
          </w:tbl>
          <w:p w14:paraId="2B51D432" w14:textId="77777777" w:rsidR="00C349F2" w:rsidRDefault="00C349F2">
            <w:pPr>
              <w:jc w:val="center"/>
              <w:rPr>
                <w:rFonts w:ascii="Times New Roman" w:eastAsia="Times New Roman" w:hAnsi="Times New Roman" w:cs="Times New Roman"/>
                <w:sz w:val="20"/>
                <w:szCs w:val="20"/>
              </w:rPr>
            </w:pPr>
          </w:p>
        </w:tc>
      </w:tr>
    </w:tbl>
    <w:p w14:paraId="51AEA574" w14:textId="77777777" w:rsidR="00136AB8" w:rsidRDefault="00136AB8" w:rsidP="00136AB8">
      <w:pPr>
        <w:rPr>
          <w:rFonts w:ascii="Helvetica" w:hAnsi="Helvetica" w:cs="Helvetica"/>
          <w:color w:val="202020"/>
          <w:sz w:val="24"/>
          <w:szCs w:val="24"/>
        </w:rPr>
      </w:pPr>
    </w:p>
    <w:p w14:paraId="08BDAF44" w14:textId="02A783D4" w:rsidR="00136AB8" w:rsidRPr="00514586" w:rsidRDefault="00514586" w:rsidP="00136AB8">
      <w:pPr>
        <w:numPr>
          <w:ilvl w:val="0"/>
          <w:numId w:val="1"/>
        </w:numPr>
        <w:spacing w:before="100" w:beforeAutospacing="1" w:after="100" w:afterAutospacing="1" w:line="360" w:lineRule="auto"/>
        <w:rPr>
          <w:rStyle w:val="Hyperlink"/>
          <w:rFonts w:ascii="Helvetica" w:eastAsia="Times New Roman" w:hAnsi="Helvetica" w:cs="Helvetica"/>
          <w:sz w:val="24"/>
          <w:szCs w:val="24"/>
        </w:rPr>
      </w:pPr>
      <w:r>
        <w:rPr>
          <w:rFonts w:ascii="Helvetica" w:eastAsia="Times New Roman" w:hAnsi="Helvetica" w:cs="Helvetica"/>
          <w:sz w:val="24"/>
          <w:szCs w:val="24"/>
        </w:rPr>
        <w:fldChar w:fldCharType="begin"/>
      </w:r>
      <w:r>
        <w:rPr>
          <w:rFonts w:ascii="Helvetica" w:eastAsia="Times New Roman" w:hAnsi="Helvetica" w:cs="Helvetica"/>
          <w:sz w:val="24"/>
          <w:szCs w:val="24"/>
        </w:rPr>
        <w:instrText xml:space="preserve"> HYPERLINK  \l "Story1" </w:instrText>
      </w:r>
      <w:r>
        <w:rPr>
          <w:rFonts w:ascii="Helvetica" w:eastAsia="Times New Roman" w:hAnsi="Helvetica" w:cs="Helvetica"/>
          <w:sz w:val="24"/>
          <w:szCs w:val="24"/>
        </w:rPr>
      </w:r>
      <w:r>
        <w:rPr>
          <w:rFonts w:ascii="Helvetica" w:eastAsia="Times New Roman" w:hAnsi="Helvetica" w:cs="Helvetica"/>
          <w:sz w:val="24"/>
          <w:szCs w:val="24"/>
        </w:rPr>
        <w:fldChar w:fldCharType="separate"/>
      </w:r>
      <w:r w:rsidR="00F173F5">
        <w:rPr>
          <w:rStyle w:val="Hyperlink"/>
          <w:rFonts w:ascii="Helvetica" w:eastAsia="Times New Roman" w:hAnsi="Helvetica" w:cs="Helvetica"/>
          <w:sz w:val="24"/>
          <w:szCs w:val="24"/>
        </w:rPr>
        <w:t>New Back-up (delayed) Antibiotic Prescribing Guidance</w:t>
      </w:r>
    </w:p>
    <w:p w14:paraId="6FF97F0B" w14:textId="7668A168" w:rsidR="00136AB8" w:rsidRPr="00514586" w:rsidRDefault="00514586" w:rsidP="00136AB8">
      <w:pPr>
        <w:numPr>
          <w:ilvl w:val="0"/>
          <w:numId w:val="1"/>
        </w:numPr>
        <w:spacing w:before="100" w:beforeAutospacing="1" w:after="100" w:afterAutospacing="1" w:line="360" w:lineRule="auto"/>
        <w:rPr>
          <w:rStyle w:val="Hyperlink"/>
          <w:rFonts w:ascii="Helvetica" w:eastAsia="Times New Roman" w:hAnsi="Helvetica" w:cs="Helvetica"/>
          <w:sz w:val="24"/>
          <w:szCs w:val="24"/>
        </w:rPr>
      </w:pPr>
      <w:r>
        <w:rPr>
          <w:rFonts w:ascii="Helvetica" w:eastAsia="Times New Roman" w:hAnsi="Helvetica" w:cs="Helvetica"/>
          <w:sz w:val="24"/>
          <w:szCs w:val="24"/>
        </w:rPr>
        <w:fldChar w:fldCharType="end"/>
      </w:r>
      <w:r>
        <w:rPr>
          <w:rFonts w:ascii="Helvetica" w:eastAsia="Times New Roman" w:hAnsi="Helvetica" w:cs="Helvetica"/>
          <w:sz w:val="24"/>
          <w:szCs w:val="24"/>
        </w:rPr>
        <w:fldChar w:fldCharType="begin"/>
      </w:r>
      <w:r>
        <w:rPr>
          <w:rFonts w:ascii="Helvetica" w:eastAsia="Times New Roman" w:hAnsi="Helvetica" w:cs="Helvetica"/>
          <w:sz w:val="24"/>
          <w:szCs w:val="24"/>
        </w:rPr>
        <w:instrText xml:space="preserve"> HYPERLINK  \l "Story2" </w:instrText>
      </w:r>
      <w:r>
        <w:rPr>
          <w:rFonts w:ascii="Helvetica" w:eastAsia="Times New Roman" w:hAnsi="Helvetica" w:cs="Helvetica"/>
          <w:sz w:val="24"/>
          <w:szCs w:val="24"/>
        </w:rPr>
      </w:r>
      <w:r>
        <w:rPr>
          <w:rFonts w:ascii="Helvetica" w:eastAsia="Times New Roman" w:hAnsi="Helvetica" w:cs="Helvetica"/>
          <w:sz w:val="24"/>
          <w:szCs w:val="24"/>
        </w:rPr>
        <w:fldChar w:fldCharType="separate"/>
      </w:r>
      <w:r w:rsidR="007326F1">
        <w:rPr>
          <w:rStyle w:val="Hyperlink"/>
          <w:rFonts w:ascii="Helvetica" w:eastAsia="Times New Roman" w:hAnsi="Helvetica" w:cs="Helvetica"/>
          <w:sz w:val="24"/>
          <w:szCs w:val="24"/>
        </w:rPr>
        <w:t xml:space="preserve">New </w:t>
      </w:r>
      <w:proofErr w:type="spellStart"/>
      <w:proofErr w:type="gramStart"/>
      <w:r w:rsidR="007326F1">
        <w:rPr>
          <w:rStyle w:val="Hyperlink"/>
          <w:rFonts w:ascii="Helvetica" w:eastAsia="Times New Roman" w:hAnsi="Helvetica" w:cs="Helvetica"/>
          <w:sz w:val="24"/>
          <w:szCs w:val="24"/>
        </w:rPr>
        <w:t>C.difficile</w:t>
      </w:r>
      <w:proofErr w:type="spellEnd"/>
      <w:proofErr w:type="gramEnd"/>
      <w:r w:rsidR="007326F1">
        <w:rPr>
          <w:rStyle w:val="Hyperlink"/>
          <w:rFonts w:ascii="Helvetica" w:eastAsia="Times New Roman" w:hAnsi="Helvetica" w:cs="Helvetica"/>
          <w:sz w:val="24"/>
          <w:szCs w:val="24"/>
        </w:rPr>
        <w:t xml:space="preserve"> Prescribing Guidance</w:t>
      </w:r>
    </w:p>
    <w:p w14:paraId="3E5998BD" w14:textId="77777777" w:rsidR="00D76676" w:rsidRPr="00D76676" w:rsidRDefault="00514586" w:rsidP="00D76676">
      <w:pPr>
        <w:numPr>
          <w:ilvl w:val="0"/>
          <w:numId w:val="1"/>
        </w:numPr>
        <w:spacing w:before="100" w:beforeAutospacing="1" w:after="100" w:afterAutospacing="1" w:line="360" w:lineRule="auto"/>
        <w:rPr>
          <w:rStyle w:val="Hyperlink"/>
          <w:rFonts w:ascii="Helvetica" w:eastAsia="Times New Roman" w:hAnsi="Helvetica" w:cs="Helvetica"/>
          <w:color w:val="202020"/>
          <w:sz w:val="24"/>
          <w:szCs w:val="24"/>
          <w:u w:val="none"/>
        </w:rPr>
      </w:pPr>
      <w:r>
        <w:rPr>
          <w:rFonts w:ascii="Helvetica" w:eastAsia="Times New Roman" w:hAnsi="Helvetica" w:cs="Helvetica"/>
          <w:sz w:val="24"/>
          <w:szCs w:val="24"/>
        </w:rPr>
        <w:fldChar w:fldCharType="end"/>
      </w:r>
      <w:hyperlink w:anchor="hrt" w:history="1">
        <w:r w:rsidR="00D76676" w:rsidRPr="00F62959">
          <w:rPr>
            <w:rStyle w:val="Hyperlink"/>
            <w:rFonts w:ascii="Helvetica" w:eastAsia="Times New Roman" w:hAnsi="Helvetica" w:cs="Helvetica"/>
            <w:sz w:val="24"/>
            <w:szCs w:val="24"/>
          </w:rPr>
          <w:t>Hormone Replacement Therapy (HRT) Prescribing Guidelines</w:t>
        </w:r>
      </w:hyperlink>
    </w:p>
    <w:p w14:paraId="6A2C8349" w14:textId="77777777" w:rsidR="00D76676" w:rsidRPr="00D76676" w:rsidRDefault="00677D69" w:rsidP="00D76676">
      <w:pPr>
        <w:numPr>
          <w:ilvl w:val="0"/>
          <w:numId w:val="1"/>
        </w:numPr>
        <w:spacing w:before="100" w:beforeAutospacing="1" w:after="100" w:afterAutospacing="1" w:line="360" w:lineRule="auto"/>
        <w:rPr>
          <w:rStyle w:val="Hyperlink"/>
          <w:rFonts w:ascii="Helvetica" w:eastAsia="Times New Roman" w:hAnsi="Helvetica" w:cs="Helvetica"/>
          <w:color w:val="202020"/>
          <w:sz w:val="24"/>
          <w:szCs w:val="24"/>
          <w:u w:val="none"/>
        </w:rPr>
      </w:pPr>
      <w:hyperlink w:anchor="seriousincident" w:history="1">
        <w:r w:rsidR="00D76676" w:rsidRPr="009379B7">
          <w:rPr>
            <w:rStyle w:val="Hyperlink"/>
            <w:rFonts w:ascii="Helvetica" w:eastAsia="Times New Roman" w:hAnsi="Helvetica" w:cs="Helvetica"/>
            <w:sz w:val="24"/>
            <w:szCs w:val="24"/>
          </w:rPr>
          <w:t>Sharing Learning from a Serious Incident</w:t>
        </w:r>
      </w:hyperlink>
    </w:p>
    <w:p w14:paraId="518BC3CE" w14:textId="780EED31" w:rsidR="00136AB8" w:rsidRPr="00D76676" w:rsidRDefault="00514586" w:rsidP="007C0C3B">
      <w:pPr>
        <w:numPr>
          <w:ilvl w:val="0"/>
          <w:numId w:val="1"/>
        </w:numPr>
        <w:spacing w:before="100" w:beforeAutospacing="1" w:after="100" w:afterAutospacing="1" w:line="360" w:lineRule="auto"/>
        <w:rPr>
          <w:rStyle w:val="Hyperlink"/>
          <w:rFonts w:ascii="Helvetica" w:eastAsia="Times New Roman" w:hAnsi="Helvetica" w:cs="Helvetica"/>
          <w:sz w:val="24"/>
          <w:szCs w:val="24"/>
        </w:rPr>
      </w:pPr>
      <w:r w:rsidRPr="00D76676">
        <w:rPr>
          <w:rFonts w:ascii="Helvetica" w:eastAsia="Times New Roman" w:hAnsi="Helvetica" w:cs="Helvetica"/>
          <w:sz w:val="24"/>
          <w:szCs w:val="24"/>
        </w:rPr>
        <w:fldChar w:fldCharType="begin"/>
      </w:r>
      <w:r w:rsidRPr="00D76676">
        <w:rPr>
          <w:rFonts w:ascii="Helvetica" w:eastAsia="Times New Roman" w:hAnsi="Helvetica" w:cs="Helvetica"/>
          <w:sz w:val="24"/>
          <w:szCs w:val="24"/>
        </w:rPr>
        <w:instrText xml:space="preserve"> HYPERLINK  \l "Story3" </w:instrText>
      </w:r>
      <w:r w:rsidRPr="00D76676">
        <w:rPr>
          <w:rFonts w:ascii="Helvetica" w:eastAsia="Times New Roman" w:hAnsi="Helvetica" w:cs="Helvetica"/>
          <w:sz w:val="24"/>
          <w:szCs w:val="24"/>
        </w:rPr>
      </w:r>
      <w:r w:rsidRPr="00D76676">
        <w:rPr>
          <w:rFonts w:ascii="Helvetica" w:eastAsia="Times New Roman" w:hAnsi="Helvetica" w:cs="Helvetica"/>
          <w:sz w:val="24"/>
          <w:szCs w:val="24"/>
        </w:rPr>
        <w:fldChar w:fldCharType="separate"/>
      </w:r>
      <w:r w:rsidR="007326F1" w:rsidRPr="00D76676">
        <w:rPr>
          <w:rStyle w:val="Hyperlink"/>
          <w:rFonts w:ascii="Helvetica" w:eastAsia="Times New Roman" w:hAnsi="Helvetica" w:cs="Helvetica"/>
          <w:sz w:val="24"/>
          <w:szCs w:val="24"/>
        </w:rPr>
        <w:t xml:space="preserve">Potential </w:t>
      </w:r>
      <w:r w:rsidR="00942CC3" w:rsidRPr="00D76676">
        <w:rPr>
          <w:rStyle w:val="Hyperlink"/>
          <w:rFonts w:ascii="Helvetica" w:eastAsia="Times New Roman" w:hAnsi="Helvetica" w:cs="Helvetica"/>
          <w:sz w:val="24"/>
          <w:szCs w:val="24"/>
        </w:rPr>
        <w:t>U</w:t>
      </w:r>
      <w:r w:rsidR="007326F1" w:rsidRPr="00D76676">
        <w:rPr>
          <w:rStyle w:val="Hyperlink"/>
          <w:rFonts w:ascii="Helvetica" w:eastAsia="Times New Roman" w:hAnsi="Helvetica" w:cs="Helvetica"/>
          <w:sz w:val="24"/>
          <w:szCs w:val="24"/>
        </w:rPr>
        <w:t xml:space="preserve">nder-recognised </w:t>
      </w:r>
      <w:r w:rsidR="00942CC3" w:rsidRPr="00D76676">
        <w:rPr>
          <w:rStyle w:val="Hyperlink"/>
          <w:rFonts w:ascii="Helvetica" w:eastAsia="Times New Roman" w:hAnsi="Helvetica" w:cs="Helvetica"/>
          <w:sz w:val="24"/>
          <w:szCs w:val="24"/>
        </w:rPr>
        <w:t>R</w:t>
      </w:r>
      <w:r w:rsidR="007326F1" w:rsidRPr="00D76676">
        <w:rPr>
          <w:rStyle w:val="Hyperlink"/>
          <w:rFonts w:ascii="Helvetica" w:eastAsia="Times New Roman" w:hAnsi="Helvetica" w:cs="Helvetica"/>
          <w:sz w:val="24"/>
          <w:szCs w:val="24"/>
        </w:rPr>
        <w:t xml:space="preserve">isk of </w:t>
      </w:r>
      <w:r w:rsidR="00942CC3" w:rsidRPr="00D76676">
        <w:rPr>
          <w:rStyle w:val="Hyperlink"/>
          <w:rFonts w:ascii="Helvetica" w:eastAsia="Times New Roman" w:hAnsi="Helvetica" w:cs="Helvetica"/>
          <w:sz w:val="24"/>
          <w:szCs w:val="24"/>
        </w:rPr>
        <w:t>H</w:t>
      </w:r>
      <w:r w:rsidR="007326F1" w:rsidRPr="00D76676">
        <w:rPr>
          <w:rStyle w:val="Hyperlink"/>
          <w:rFonts w:ascii="Helvetica" w:eastAsia="Times New Roman" w:hAnsi="Helvetica" w:cs="Helvetica"/>
          <w:sz w:val="24"/>
          <w:szCs w:val="24"/>
        </w:rPr>
        <w:t xml:space="preserve">arm from the </w:t>
      </w:r>
      <w:r w:rsidR="00942CC3" w:rsidRPr="00D76676">
        <w:rPr>
          <w:rStyle w:val="Hyperlink"/>
          <w:rFonts w:ascii="Helvetica" w:eastAsia="Times New Roman" w:hAnsi="Helvetica" w:cs="Helvetica"/>
          <w:sz w:val="24"/>
          <w:szCs w:val="24"/>
        </w:rPr>
        <w:t>U</w:t>
      </w:r>
      <w:r w:rsidR="007326F1" w:rsidRPr="00D76676">
        <w:rPr>
          <w:rStyle w:val="Hyperlink"/>
          <w:rFonts w:ascii="Helvetica" w:eastAsia="Times New Roman" w:hAnsi="Helvetica" w:cs="Helvetica"/>
          <w:sz w:val="24"/>
          <w:szCs w:val="24"/>
        </w:rPr>
        <w:t xml:space="preserve">se of </w:t>
      </w:r>
      <w:r w:rsidR="00942CC3" w:rsidRPr="00D76676">
        <w:rPr>
          <w:rStyle w:val="Hyperlink"/>
          <w:rFonts w:ascii="Helvetica" w:eastAsia="Times New Roman" w:hAnsi="Helvetica" w:cs="Helvetica"/>
          <w:sz w:val="24"/>
          <w:szCs w:val="24"/>
        </w:rPr>
        <w:t>P</w:t>
      </w:r>
      <w:r w:rsidR="007326F1" w:rsidRPr="00D76676">
        <w:rPr>
          <w:rStyle w:val="Hyperlink"/>
          <w:rFonts w:ascii="Helvetica" w:eastAsia="Times New Roman" w:hAnsi="Helvetica" w:cs="Helvetica"/>
          <w:sz w:val="24"/>
          <w:szCs w:val="24"/>
        </w:rPr>
        <w:t xml:space="preserve">ropranolol in </w:t>
      </w:r>
      <w:r w:rsidR="00942CC3" w:rsidRPr="00D76676">
        <w:rPr>
          <w:rStyle w:val="Hyperlink"/>
          <w:rFonts w:ascii="Helvetica" w:eastAsia="Times New Roman" w:hAnsi="Helvetica" w:cs="Helvetica"/>
          <w:sz w:val="24"/>
          <w:szCs w:val="24"/>
        </w:rPr>
        <w:t>C</w:t>
      </w:r>
      <w:r w:rsidR="007326F1" w:rsidRPr="00D76676">
        <w:rPr>
          <w:rStyle w:val="Hyperlink"/>
          <w:rFonts w:ascii="Helvetica" w:eastAsia="Times New Roman" w:hAnsi="Helvetica" w:cs="Helvetica"/>
          <w:sz w:val="24"/>
          <w:szCs w:val="24"/>
        </w:rPr>
        <w:t xml:space="preserve">ertain </w:t>
      </w:r>
      <w:r w:rsidR="00942CC3" w:rsidRPr="00D76676">
        <w:rPr>
          <w:rStyle w:val="Hyperlink"/>
          <w:rFonts w:ascii="Helvetica" w:eastAsia="Times New Roman" w:hAnsi="Helvetica" w:cs="Helvetica"/>
          <w:sz w:val="24"/>
          <w:szCs w:val="24"/>
        </w:rPr>
        <w:t>P</w:t>
      </w:r>
      <w:r w:rsidR="007326F1" w:rsidRPr="00D76676">
        <w:rPr>
          <w:rStyle w:val="Hyperlink"/>
          <w:rFonts w:ascii="Helvetica" w:eastAsia="Times New Roman" w:hAnsi="Helvetica" w:cs="Helvetica"/>
          <w:sz w:val="24"/>
          <w:szCs w:val="24"/>
        </w:rPr>
        <w:t xml:space="preserve">atient </w:t>
      </w:r>
      <w:r w:rsidR="00942CC3" w:rsidRPr="00D76676">
        <w:rPr>
          <w:rStyle w:val="Hyperlink"/>
          <w:rFonts w:ascii="Helvetica" w:eastAsia="Times New Roman" w:hAnsi="Helvetica" w:cs="Helvetica"/>
          <w:sz w:val="24"/>
          <w:szCs w:val="24"/>
        </w:rPr>
        <w:t>C</w:t>
      </w:r>
      <w:r w:rsidR="007326F1" w:rsidRPr="00D76676">
        <w:rPr>
          <w:rStyle w:val="Hyperlink"/>
          <w:rFonts w:ascii="Helvetica" w:eastAsia="Times New Roman" w:hAnsi="Helvetica" w:cs="Helvetica"/>
          <w:sz w:val="24"/>
          <w:szCs w:val="24"/>
        </w:rPr>
        <w:t>ohorts</w:t>
      </w:r>
      <w:r w:rsidR="00647897" w:rsidRPr="00D76676">
        <w:rPr>
          <w:rStyle w:val="Hyperlink"/>
          <w:rFonts w:ascii="Helvetica" w:eastAsia="Times New Roman" w:hAnsi="Helvetica" w:cs="Helvetica"/>
          <w:sz w:val="24"/>
          <w:szCs w:val="24"/>
        </w:rPr>
        <w:t xml:space="preserve"> </w:t>
      </w:r>
    </w:p>
    <w:p w14:paraId="351938D2" w14:textId="43E23EA7" w:rsidR="00514586" w:rsidRPr="00D76676" w:rsidRDefault="00514586" w:rsidP="00C7339C">
      <w:pPr>
        <w:numPr>
          <w:ilvl w:val="0"/>
          <w:numId w:val="1"/>
        </w:numPr>
        <w:spacing w:before="100" w:beforeAutospacing="1" w:after="100" w:afterAutospacing="1" w:line="360" w:lineRule="auto"/>
        <w:rPr>
          <w:rStyle w:val="Hyperlink"/>
          <w:rFonts w:ascii="Helvetica" w:eastAsia="Times New Roman" w:hAnsi="Helvetica" w:cs="Helvetica"/>
          <w:color w:val="202020"/>
          <w:sz w:val="24"/>
          <w:szCs w:val="24"/>
          <w:u w:val="none"/>
        </w:rPr>
      </w:pPr>
      <w:r w:rsidRPr="00D76676">
        <w:rPr>
          <w:rFonts w:ascii="Helvetica" w:eastAsia="Times New Roman" w:hAnsi="Helvetica" w:cs="Helvetica"/>
          <w:sz w:val="24"/>
          <w:szCs w:val="24"/>
        </w:rPr>
        <w:fldChar w:fldCharType="end"/>
      </w:r>
      <w:hyperlink w:anchor="localarea" w:history="1">
        <w:r w:rsidR="00BB3EF1" w:rsidRPr="00D76676">
          <w:rPr>
            <w:rStyle w:val="Hyperlink"/>
            <w:rFonts w:ascii="Helvetica" w:eastAsia="Times New Roman" w:hAnsi="Helvetica" w:cs="Helvetica"/>
            <w:sz w:val="24"/>
            <w:szCs w:val="24"/>
          </w:rPr>
          <w:t xml:space="preserve">MHRA Drug Safety Updates </w:t>
        </w:r>
      </w:hyperlink>
    </w:p>
    <w:p w14:paraId="25E5496C" w14:textId="342AD655" w:rsidR="006C00E9" w:rsidRPr="009379B7" w:rsidRDefault="00677D69" w:rsidP="00136AB8">
      <w:pPr>
        <w:numPr>
          <w:ilvl w:val="0"/>
          <w:numId w:val="1"/>
        </w:numPr>
        <w:spacing w:before="100" w:beforeAutospacing="1" w:after="100" w:afterAutospacing="1" w:line="360" w:lineRule="auto"/>
        <w:rPr>
          <w:rStyle w:val="Hyperlink"/>
          <w:rFonts w:ascii="Helvetica" w:eastAsia="Times New Roman" w:hAnsi="Helvetica" w:cs="Helvetica"/>
          <w:color w:val="202020"/>
          <w:sz w:val="24"/>
          <w:szCs w:val="24"/>
          <w:u w:val="none"/>
        </w:rPr>
      </w:pPr>
      <w:hyperlink w:anchor="Aquacel" w:history="1">
        <w:r w:rsidR="006C00E9" w:rsidRPr="006C00E9">
          <w:rPr>
            <w:rStyle w:val="Hyperlink"/>
            <w:rFonts w:ascii="Helvetica" w:eastAsia="Times New Roman" w:hAnsi="Helvetica" w:cs="Helvetica"/>
            <w:sz w:val="24"/>
            <w:szCs w:val="24"/>
          </w:rPr>
          <w:t>AQUACEL Ag+ Upgrade</w:t>
        </w:r>
      </w:hyperlink>
    </w:p>
    <w:p w14:paraId="34B7A017" w14:textId="3FAF5914" w:rsidR="00BB3EF1" w:rsidRDefault="00677D69" w:rsidP="00136AB8">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w:anchor="shortages" w:history="1">
        <w:r w:rsidR="00BB3EF1" w:rsidRPr="00323E23">
          <w:rPr>
            <w:rStyle w:val="Hyperlink"/>
            <w:rFonts w:ascii="Helvetica" w:eastAsia="Times New Roman" w:hAnsi="Helvetica" w:cs="Helvetica"/>
            <w:sz w:val="24"/>
            <w:szCs w:val="24"/>
          </w:rPr>
          <w:t>Shortage information</w:t>
        </w:r>
      </w:hyperlink>
    </w:p>
    <w:p w14:paraId="0C8143DA" w14:textId="77777777" w:rsidR="00C349F2" w:rsidRDefault="00C349F2" w:rsidP="00C349F2">
      <w:pPr>
        <w:rPr>
          <w:rFonts w:eastAsia="Times New Roman"/>
        </w:rPr>
      </w:pPr>
    </w:p>
    <w:tbl>
      <w:tblPr>
        <w:tblW w:w="5000" w:type="pct"/>
        <w:tblCellMar>
          <w:left w:w="0" w:type="dxa"/>
          <w:right w:w="0" w:type="dxa"/>
        </w:tblCellMar>
        <w:tblLook w:val="04A0" w:firstRow="1" w:lastRow="0" w:firstColumn="1" w:lastColumn="0" w:noHBand="0" w:noVBand="1"/>
      </w:tblPr>
      <w:tblGrid>
        <w:gridCol w:w="9026"/>
      </w:tblGrid>
      <w:tr w:rsidR="00C349F2" w14:paraId="1B227D1D" w14:textId="77777777" w:rsidTr="00C349F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349F2" w14:paraId="51C8C595" w14:textId="77777777">
              <w:tc>
                <w:tcPr>
                  <w:tcW w:w="9000" w:type="dxa"/>
                  <w:hideMark/>
                </w:tcPr>
                <w:p w14:paraId="18FA9B20" w14:textId="77777777" w:rsidR="000803AE" w:rsidRDefault="000803AE"/>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49F2" w14:paraId="625E34C3" w14:textId="77777777">
                    <w:tc>
                      <w:tcPr>
                        <w:tcW w:w="0" w:type="auto"/>
                        <w:tcMar>
                          <w:top w:w="0" w:type="dxa"/>
                          <w:left w:w="270" w:type="dxa"/>
                          <w:bottom w:w="135" w:type="dxa"/>
                          <w:right w:w="270" w:type="dxa"/>
                        </w:tcMar>
                        <w:hideMark/>
                      </w:tcPr>
                      <w:p w14:paraId="2961E4EF" w14:textId="77777777" w:rsidR="00F173F5" w:rsidRDefault="00F173F5" w:rsidP="00F173F5">
                        <w:pPr>
                          <w:spacing w:before="150" w:after="150" w:line="360" w:lineRule="auto"/>
                          <w:rPr>
                            <w:rFonts w:ascii="Helvetica" w:hAnsi="Helvetica" w:cs="Helvetica"/>
                            <w:b/>
                            <w:bCs/>
                            <w:color w:val="00A499"/>
                            <w:sz w:val="33"/>
                            <w:szCs w:val="33"/>
                          </w:rPr>
                        </w:pPr>
                        <w:bookmarkStart w:id="0" w:name="Story1"/>
                        <w:r>
                          <w:rPr>
                            <w:rFonts w:ascii="Helvetica" w:hAnsi="Helvetica" w:cs="Helvetica"/>
                            <w:b/>
                            <w:bCs/>
                            <w:color w:val="00A499"/>
                            <w:sz w:val="33"/>
                            <w:szCs w:val="33"/>
                          </w:rPr>
                          <w:t>New Back-up (delayed) Antibiotic Prescribing Guidance</w:t>
                        </w:r>
                        <w:bookmarkEnd w:id="0"/>
                      </w:p>
                      <w:p w14:paraId="005041DB" w14:textId="77777777"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NICE antimicrobial guidance includes a ‘back-up’ prescription as an option in acute sore throat (in addition to otitis media, cough, and sinusitis.)   </w:t>
                        </w:r>
                      </w:p>
                      <w:p w14:paraId="21FB1932" w14:textId="77777777"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Practices participating in the 2022-2024 MOS are likely to have completed their audit for antibiotic prescribing for sore throat in children, and following this audit </w:t>
                        </w:r>
                        <w:r w:rsidRPr="002760D5">
                          <w:rPr>
                            <w:rFonts w:ascii="Helvetica" w:hAnsi="Helvetica" w:cs="Helvetica"/>
                            <w:color w:val="202020"/>
                            <w:sz w:val="24"/>
                            <w:szCs w:val="24"/>
                          </w:rPr>
                          <w:lastRenderedPageBreak/>
                          <w:t xml:space="preserve">may be planning to build the use of delayed/back-up prescribing into their practice improvement plans.   </w:t>
                        </w:r>
                      </w:p>
                      <w:p w14:paraId="2911DD05" w14:textId="109EDAD5"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To support with this, Kent and Medway back-up prescribing guidance has now been approved. This can be found on your local formulary website and includes information on:  </w:t>
                        </w:r>
                      </w:p>
                      <w:p w14:paraId="2D58DC83" w14:textId="6D9B3A2A"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•The benefits and when it may be appropriate </w:t>
                        </w:r>
                      </w:p>
                      <w:p w14:paraId="4510634F" w14:textId="77133FB6"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•Considerations for infants and children </w:t>
                        </w:r>
                      </w:p>
                      <w:p w14:paraId="20BE9FBF" w14:textId="19B6063D"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•The six methods of producing a back-up prescription, their </w:t>
                        </w:r>
                        <w:proofErr w:type="gramStart"/>
                        <w:r w:rsidR="00852C1A" w:rsidRPr="002760D5">
                          <w:rPr>
                            <w:rFonts w:ascii="Helvetica" w:hAnsi="Helvetica" w:cs="Helvetica"/>
                            <w:color w:val="202020"/>
                            <w:sz w:val="24"/>
                            <w:szCs w:val="24"/>
                          </w:rPr>
                          <w:t>pros</w:t>
                        </w:r>
                        <w:proofErr w:type="gramEnd"/>
                        <w:r w:rsidRPr="002760D5">
                          <w:rPr>
                            <w:rFonts w:ascii="Helvetica" w:hAnsi="Helvetica" w:cs="Helvetica"/>
                            <w:color w:val="202020"/>
                            <w:sz w:val="24"/>
                            <w:szCs w:val="24"/>
                          </w:rPr>
                          <w:t xml:space="preserve"> and cons </w:t>
                        </w:r>
                      </w:p>
                      <w:p w14:paraId="4C033841" w14:textId="67BC1762"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•A </w:t>
                        </w:r>
                        <w:r w:rsidR="00942CC3" w:rsidRPr="002760D5">
                          <w:rPr>
                            <w:rFonts w:ascii="Helvetica" w:hAnsi="Helvetica" w:cs="Helvetica"/>
                            <w:color w:val="202020"/>
                            <w:sz w:val="24"/>
                            <w:szCs w:val="24"/>
                          </w:rPr>
                          <w:t>six-step</w:t>
                        </w:r>
                        <w:r w:rsidRPr="002760D5">
                          <w:rPr>
                            <w:rFonts w:ascii="Helvetica" w:hAnsi="Helvetica" w:cs="Helvetica"/>
                            <w:color w:val="202020"/>
                            <w:sz w:val="24"/>
                            <w:szCs w:val="24"/>
                          </w:rPr>
                          <w:t xml:space="preserve"> process for post-dating EPS prescriptions </w:t>
                        </w:r>
                      </w:p>
                      <w:p w14:paraId="3291F599" w14:textId="1A0B9210" w:rsidR="002760D5" w:rsidRP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•Counselling and safety netting checklist </w:t>
                        </w:r>
                      </w:p>
                      <w:p w14:paraId="4AFE7F35" w14:textId="48EF22D7" w:rsidR="002760D5" w:rsidRDefault="002760D5" w:rsidP="002760D5">
                        <w:pP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•Patient information leaflet  </w:t>
                        </w:r>
                      </w:p>
                      <w:p w14:paraId="3EA5C011" w14:textId="21C597D1" w:rsidR="008D58A6" w:rsidRDefault="008D58A6" w:rsidP="000803AE">
                        <w:pPr>
                          <w:spacing w:before="150" w:after="150" w:line="360" w:lineRule="auto"/>
                          <w:rPr>
                            <w:rFonts w:ascii="Helvetica" w:hAnsi="Helvetica" w:cs="Helvetica"/>
                            <w:color w:val="202020"/>
                            <w:sz w:val="24"/>
                            <w:szCs w:val="24"/>
                          </w:rPr>
                        </w:pPr>
                      </w:p>
                      <w:p w14:paraId="153E77A3" w14:textId="009FC0C4" w:rsidR="007326F1" w:rsidRPr="007326F1" w:rsidRDefault="007326F1" w:rsidP="007326F1">
                        <w:pPr>
                          <w:spacing w:before="150" w:after="150" w:line="360" w:lineRule="auto"/>
                          <w:rPr>
                            <w:rFonts w:ascii="Helvetica" w:hAnsi="Helvetica" w:cs="Helvetica"/>
                            <w:color w:val="202020"/>
                            <w:sz w:val="24"/>
                            <w:szCs w:val="24"/>
                          </w:rPr>
                        </w:pPr>
                        <w:bookmarkStart w:id="1" w:name="Story2"/>
                        <w:r>
                          <w:rPr>
                            <w:rFonts w:ascii="Helvetica" w:eastAsia="Times New Roman" w:hAnsi="Helvetica" w:cs="Helvetica"/>
                            <w:b/>
                            <w:bCs/>
                            <w:color w:val="00A499"/>
                            <w:sz w:val="33"/>
                            <w:szCs w:val="33"/>
                          </w:rPr>
                          <w:t xml:space="preserve">New </w:t>
                        </w:r>
                        <w:r w:rsidRPr="00261AAD">
                          <w:rPr>
                            <w:rFonts w:ascii="Helvetica" w:eastAsia="Times New Roman" w:hAnsi="Helvetica" w:cs="Helvetica"/>
                            <w:b/>
                            <w:bCs/>
                            <w:i/>
                            <w:iCs/>
                            <w:color w:val="00A499"/>
                            <w:sz w:val="33"/>
                            <w:szCs w:val="33"/>
                          </w:rPr>
                          <w:t>C.</w:t>
                        </w:r>
                        <w:r w:rsidR="00266C3F">
                          <w:rPr>
                            <w:rFonts w:ascii="Helvetica" w:eastAsia="Times New Roman" w:hAnsi="Helvetica" w:cs="Helvetica"/>
                            <w:b/>
                            <w:bCs/>
                            <w:i/>
                            <w:iCs/>
                            <w:color w:val="00A499"/>
                            <w:sz w:val="33"/>
                            <w:szCs w:val="33"/>
                          </w:rPr>
                          <w:t xml:space="preserve"> </w:t>
                        </w:r>
                        <w:r w:rsidRPr="00261AAD">
                          <w:rPr>
                            <w:rFonts w:ascii="Helvetica" w:eastAsia="Times New Roman" w:hAnsi="Helvetica" w:cs="Helvetica"/>
                            <w:b/>
                            <w:bCs/>
                            <w:i/>
                            <w:iCs/>
                            <w:color w:val="00A499"/>
                            <w:sz w:val="33"/>
                            <w:szCs w:val="33"/>
                          </w:rPr>
                          <w:t>difficile</w:t>
                        </w:r>
                        <w:r>
                          <w:rPr>
                            <w:rFonts w:ascii="Helvetica" w:eastAsia="Times New Roman" w:hAnsi="Helvetica" w:cs="Helvetica"/>
                            <w:b/>
                            <w:bCs/>
                            <w:color w:val="00A499"/>
                            <w:sz w:val="33"/>
                            <w:szCs w:val="33"/>
                          </w:rPr>
                          <w:t xml:space="preserve"> Prescribing Guidance and Access Information </w:t>
                        </w:r>
                        <w:bookmarkEnd w:id="1"/>
                      </w:p>
                      <w:p w14:paraId="0E0A6882" w14:textId="69ABD88E" w:rsidR="002760D5" w:rsidRPr="002760D5"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NICE guidance for the treatment of </w:t>
                        </w:r>
                        <w:proofErr w:type="spellStart"/>
                        <w:r w:rsidRPr="00261AAD">
                          <w:rPr>
                            <w:rFonts w:ascii="Helvetica" w:hAnsi="Helvetica" w:cs="Helvetica"/>
                            <w:i/>
                            <w:iCs/>
                            <w:color w:val="202020"/>
                            <w:sz w:val="24"/>
                            <w:szCs w:val="24"/>
                          </w:rPr>
                          <w:t>Clostridioides</w:t>
                        </w:r>
                        <w:proofErr w:type="spellEnd"/>
                        <w:r w:rsidRPr="00261AAD">
                          <w:rPr>
                            <w:rFonts w:ascii="Helvetica" w:hAnsi="Helvetica" w:cs="Helvetica"/>
                            <w:i/>
                            <w:iCs/>
                            <w:color w:val="202020"/>
                            <w:sz w:val="24"/>
                            <w:szCs w:val="24"/>
                          </w:rPr>
                          <w:t xml:space="preserve"> difficile</w:t>
                        </w:r>
                        <w:r w:rsidRPr="002760D5">
                          <w:rPr>
                            <w:rFonts w:ascii="Helvetica" w:hAnsi="Helvetica" w:cs="Helvetica"/>
                            <w:color w:val="202020"/>
                            <w:sz w:val="24"/>
                            <w:szCs w:val="24"/>
                          </w:rPr>
                          <w:t xml:space="preserve"> infection (CDI) currently recommends oral vancomycin as first-line for the first episode of mild, </w:t>
                        </w:r>
                        <w:proofErr w:type="gramStart"/>
                        <w:r w:rsidRPr="002760D5">
                          <w:rPr>
                            <w:rFonts w:ascii="Helvetica" w:hAnsi="Helvetica" w:cs="Helvetica"/>
                            <w:color w:val="202020"/>
                            <w:sz w:val="24"/>
                            <w:szCs w:val="24"/>
                          </w:rPr>
                          <w:t>moderate</w:t>
                        </w:r>
                        <w:proofErr w:type="gramEnd"/>
                        <w:r w:rsidRPr="002760D5">
                          <w:rPr>
                            <w:rFonts w:ascii="Helvetica" w:hAnsi="Helvetica" w:cs="Helvetica"/>
                            <w:color w:val="202020"/>
                            <w:sz w:val="24"/>
                            <w:szCs w:val="24"/>
                          </w:rPr>
                          <w:t xml:space="preserve"> or severe cases with fidaxomicin as the second line option where vancomycin is ineffective.  Metronidazole is no longer recommended for the treatment of </w:t>
                        </w:r>
                        <w:r w:rsidRPr="00266C3F">
                          <w:rPr>
                            <w:rFonts w:ascii="Helvetica" w:hAnsi="Helvetica" w:cs="Helvetica"/>
                            <w:i/>
                            <w:iCs/>
                            <w:color w:val="202020"/>
                            <w:sz w:val="24"/>
                            <w:szCs w:val="24"/>
                          </w:rPr>
                          <w:t>C.</w:t>
                        </w:r>
                        <w:r w:rsidR="00266C3F" w:rsidRPr="00266C3F">
                          <w:rPr>
                            <w:rFonts w:ascii="Helvetica" w:hAnsi="Helvetica" w:cs="Helvetica"/>
                            <w:i/>
                            <w:iCs/>
                            <w:color w:val="202020"/>
                            <w:sz w:val="24"/>
                            <w:szCs w:val="24"/>
                          </w:rPr>
                          <w:t xml:space="preserve"> </w:t>
                        </w:r>
                        <w:r w:rsidRPr="00266C3F">
                          <w:rPr>
                            <w:rFonts w:ascii="Helvetica" w:hAnsi="Helvetica" w:cs="Helvetica"/>
                            <w:i/>
                            <w:iCs/>
                            <w:color w:val="202020"/>
                            <w:sz w:val="24"/>
                            <w:szCs w:val="24"/>
                          </w:rPr>
                          <w:t>difficile</w:t>
                        </w:r>
                        <w:r w:rsidR="00266C3F">
                          <w:rPr>
                            <w:rFonts w:ascii="Helvetica" w:hAnsi="Helvetica" w:cs="Helvetica"/>
                            <w:color w:val="202020"/>
                            <w:sz w:val="24"/>
                            <w:szCs w:val="24"/>
                          </w:rPr>
                          <w:t>.</w:t>
                        </w:r>
                      </w:p>
                      <w:p w14:paraId="0B9A124E" w14:textId="33D02EF3" w:rsidR="002760D5" w:rsidRPr="002760D5"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Community pharmacies do not routinely hold stock of vancomycin capsules and fidaxomicin tablets or </w:t>
                        </w:r>
                        <w:r w:rsidR="00266C3F" w:rsidRPr="002760D5">
                          <w:rPr>
                            <w:rFonts w:ascii="Helvetica" w:hAnsi="Helvetica" w:cs="Helvetica"/>
                            <w:color w:val="202020"/>
                            <w:sz w:val="24"/>
                            <w:szCs w:val="24"/>
                          </w:rPr>
                          <w:t>granules and</w:t>
                        </w:r>
                        <w:r w:rsidRPr="002760D5">
                          <w:rPr>
                            <w:rFonts w:ascii="Helvetica" w:hAnsi="Helvetica" w:cs="Helvetica"/>
                            <w:color w:val="202020"/>
                            <w:sz w:val="24"/>
                            <w:szCs w:val="24"/>
                          </w:rPr>
                          <w:t xml:space="preserve"> will likely need to obtain stock from wholesalers. Most pharmacies will receive twice daily delivery from wholesalers during weekdays and on Saturday morning so stock can be obtained on the same day.  </w:t>
                        </w:r>
                      </w:p>
                      <w:p w14:paraId="5B74D0CD" w14:textId="54A5F10D" w:rsidR="002760D5" w:rsidRPr="002760D5"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lastRenderedPageBreak/>
                          <w:t>However, for situations where this is not possible, for example weekends, bank holidays or out of hours, and in cases of clinical urgency in primary care where there is a need to start treatment immediately, 8 pharmacies have been commissioned to hold enough stock of vancomycin and fidaxomicin to cover one cour</w:t>
                        </w:r>
                        <w:r>
                          <w:rPr>
                            <w:rFonts w:ascii="Helvetica" w:hAnsi="Helvetica" w:cs="Helvetica"/>
                            <w:color w:val="202020"/>
                            <w:sz w:val="24"/>
                            <w:szCs w:val="24"/>
                          </w:rPr>
                          <w:t>se</w:t>
                        </w:r>
                        <w:r w:rsidRPr="002760D5">
                          <w:rPr>
                            <w:rFonts w:ascii="Helvetica" w:hAnsi="Helvetica" w:cs="Helvetica"/>
                            <w:color w:val="202020"/>
                            <w:sz w:val="24"/>
                            <w:szCs w:val="24"/>
                          </w:rPr>
                          <w:t xml:space="preserve"> of treatment. (Two in each HCP.) </w:t>
                        </w:r>
                      </w:p>
                      <w:p w14:paraId="309D892E" w14:textId="17D5CF9A" w:rsidR="002760D5" w:rsidRPr="002760D5"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Guidance has now been approved which supports patients and prescribers to access treatment for CDI in primary care at these 8 pharmacies. This guidance includes the locations, contact details and opening hours of these eight pharmacies to support teams in directing patients to their closest pharmacy</w:t>
                        </w:r>
                        <w:r w:rsidR="00942CC3">
                          <w:rPr>
                            <w:rFonts w:ascii="Helvetica" w:hAnsi="Helvetica" w:cs="Helvetica"/>
                            <w:color w:val="202020"/>
                            <w:sz w:val="24"/>
                            <w:szCs w:val="24"/>
                          </w:rPr>
                          <w:t xml:space="preserve"> and is available on your local formulary website</w:t>
                        </w:r>
                        <w:r w:rsidRPr="002760D5">
                          <w:rPr>
                            <w:rFonts w:ascii="Helvetica" w:hAnsi="Helvetica" w:cs="Helvetica"/>
                            <w:color w:val="202020"/>
                            <w:sz w:val="24"/>
                            <w:szCs w:val="24"/>
                          </w:rPr>
                          <w:t xml:space="preserve">.  </w:t>
                        </w:r>
                      </w:p>
                      <w:p w14:paraId="0F0FD8A4" w14:textId="008A091C" w:rsidR="002760D5" w:rsidRPr="002760D5"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Although 8 pharmacies have been commissioned</w:t>
                        </w:r>
                        <w:r w:rsidR="00942CC3">
                          <w:rPr>
                            <w:rFonts w:ascii="Helvetica" w:hAnsi="Helvetica" w:cs="Helvetica"/>
                            <w:color w:val="202020"/>
                            <w:sz w:val="24"/>
                            <w:szCs w:val="24"/>
                          </w:rPr>
                          <w:t>,</w:t>
                        </w:r>
                        <w:r w:rsidRPr="002760D5">
                          <w:rPr>
                            <w:rFonts w:ascii="Helvetica" w:hAnsi="Helvetica" w:cs="Helvetica"/>
                            <w:color w:val="202020"/>
                            <w:sz w:val="24"/>
                            <w:szCs w:val="24"/>
                          </w:rPr>
                          <w:t xml:space="preserve"> the final pharmacy in East Kent is currently being finalised and following confirmation of this the document will be updated accordingly. </w:t>
                        </w:r>
                      </w:p>
                      <w:p w14:paraId="345DFD8D" w14:textId="6DF6C80B" w:rsidR="008D58A6" w:rsidRDefault="002760D5" w:rsidP="002760D5">
                        <w:pPr>
                          <w:pBdr>
                            <w:bottom w:val="single" w:sz="12" w:space="1" w:color="auto"/>
                          </w:pBdr>
                          <w:spacing w:before="150" w:after="150" w:line="360" w:lineRule="auto"/>
                          <w:rPr>
                            <w:rFonts w:ascii="Helvetica" w:hAnsi="Helvetica" w:cs="Helvetica"/>
                            <w:color w:val="202020"/>
                            <w:sz w:val="24"/>
                            <w:szCs w:val="24"/>
                          </w:rPr>
                        </w:pPr>
                        <w:r w:rsidRPr="002760D5">
                          <w:rPr>
                            <w:rFonts w:ascii="Helvetica" w:hAnsi="Helvetica" w:cs="Helvetica"/>
                            <w:color w:val="202020"/>
                            <w:sz w:val="24"/>
                            <w:szCs w:val="24"/>
                          </w:rPr>
                          <w:t xml:space="preserve">Please note that as per NICE guidance, all suspected or confirmed C. difficile cases should be discussed with a Microbiologist prior to initiating treatment, and before moving from </w:t>
                        </w:r>
                        <w:proofErr w:type="gramStart"/>
                        <w:r w:rsidRPr="002760D5">
                          <w:rPr>
                            <w:rFonts w:ascii="Helvetica" w:hAnsi="Helvetica" w:cs="Helvetica"/>
                            <w:color w:val="202020"/>
                            <w:sz w:val="24"/>
                            <w:szCs w:val="24"/>
                          </w:rPr>
                          <w:t>first-line</w:t>
                        </w:r>
                        <w:proofErr w:type="gramEnd"/>
                        <w:r w:rsidRPr="002760D5">
                          <w:rPr>
                            <w:rFonts w:ascii="Helvetica" w:hAnsi="Helvetica" w:cs="Helvetica"/>
                            <w:color w:val="202020"/>
                            <w:sz w:val="24"/>
                            <w:szCs w:val="24"/>
                          </w:rPr>
                          <w:t xml:space="preserve"> to second-line therapy.  </w:t>
                        </w:r>
                      </w:p>
                      <w:p w14:paraId="5EFF76F7" w14:textId="77777777" w:rsidR="00D76676" w:rsidRPr="001C74D0" w:rsidRDefault="00D76676" w:rsidP="00D76676">
                        <w:pPr>
                          <w:pBdr>
                            <w:bottom w:val="single" w:sz="12" w:space="1" w:color="auto"/>
                          </w:pBdr>
                          <w:spacing w:before="150" w:after="150" w:line="360" w:lineRule="auto"/>
                          <w:rPr>
                            <w:rFonts w:ascii="Helvetica" w:hAnsi="Helvetica" w:cs="Helvetica"/>
                            <w:color w:val="202020"/>
                            <w:sz w:val="24"/>
                            <w:szCs w:val="24"/>
                          </w:rPr>
                        </w:pPr>
                      </w:p>
                      <w:p w14:paraId="0983BF18" w14:textId="77777777" w:rsidR="00D76676" w:rsidRPr="00202F93" w:rsidRDefault="00D76676" w:rsidP="00D76676">
                        <w:pPr>
                          <w:spacing w:before="150" w:after="150" w:line="360" w:lineRule="auto"/>
                          <w:rPr>
                            <w:rFonts w:ascii="Helvetica" w:hAnsi="Helvetica" w:cs="Helvetica"/>
                            <w:color w:val="202020"/>
                            <w:sz w:val="24"/>
                            <w:szCs w:val="24"/>
                          </w:rPr>
                        </w:pPr>
                        <w:bookmarkStart w:id="2" w:name="hrt"/>
                        <w:r>
                          <w:rPr>
                            <w:rFonts w:ascii="Helvetica" w:hAnsi="Helvetica" w:cs="Helvetica"/>
                            <w:b/>
                            <w:bCs/>
                            <w:color w:val="00A499"/>
                            <w:sz w:val="33"/>
                            <w:szCs w:val="33"/>
                          </w:rPr>
                          <w:t>Hormone Replacement Therapy (HRT) Prescribing Guidelines</w:t>
                        </w:r>
                      </w:p>
                      <w:bookmarkEnd w:id="2"/>
                      <w:p w14:paraId="1E46BBA3" w14:textId="77777777" w:rsidR="00D76676" w:rsidRDefault="00D76676" w:rsidP="00D76676">
                        <w:pPr>
                          <w:pStyle w:val="NormalWeb"/>
                          <w:shd w:val="clear" w:color="auto" w:fill="FFFFFF"/>
                          <w:spacing w:before="0" w:beforeAutospacing="0" w:after="0" w:afterAutospacing="0"/>
                          <w:textAlignment w:val="baseline"/>
                          <w:rPr>
                            <w:rFonts w:ascii="Helvetica" w:hAnsi="Helvetica" w:cs="Helvetica"/>
                            <w:color w:val="000000"/>
                            <w:bdr w:val="none" w:sz="0" w:space="0" w:color="auto" w:frame="1"/>
                          </w:rPr>
                        </w:pPr>
                        <w:r w:rsidRPr="007C28AA">
                          <w:rPr>
                            <w:rFonts w:ascii="Helvetica" w:hAnsi="Helvetica" w:cs="Helvetica"/>
                            <w:bCs/>
                          </w:rPr>
                          <w:t xml:space="preserve">In April 2023, HRT </w:t>
                        </w:r>
                        <w:r w:rsidRPr="007C28AA">
                          <w:rPr>
                            <w:rFonts w:ascii="Helvetica" w:hAnsi="Helvetica" w:cs="Helvetica"/>
                            <w:color w:val="000000"/>
                            <w:bdr w:val="none" w:sz="0" w:space="0" w:color="auto" w:frame="1"/>
                          </w:rPr>
                          <w:t xml:space="preserve">prescribing guidelines were approved at IMOC (Integrated Medicines Optimisation Committee) for use across Kent &amp; Medway (for both primary and secondary care). </w:t>
                        </w:r>
                      </w:p>
                      <w:p w14:paraId="1A990D5F" w14:textId="77777777" w:rsidR="00D76676" w:rsidRDefault="00D76676" w:rsidP="00D76676">
                        <w:pPr>
                          <w:pStyle w:val="NormalWeb"/>
                          <w:shd w:val="clear" w:color="auto" w:fill="FFFFFF"/>
                          <w:spacing w:before="0" w:beforeAutospacing="0" w:after="0" w:afterAutospacing="0"/>
                          <w:textAlignment w:val="baseline"/>
                          <w:rPr>
                            <w:rFonts w:ascii="Helvetica" w:hAnsi="Helvetica" w:cs="Helvetica"/>
                            <w:color w:val="000000"/>
                            <w:bdr w:val="none" w:sz="0" w:space="0" w:color="auto" w:frame="1"/>
                          </w:rPr>
                        </w:pPr>
                      </w:p>
                      <w:p w14:paraId="7CA2AEFA" w14:textId="77777777" w:rsidR="00D76676" w:rsidRPr="007C28AA" w:rsidRDefault="00D76676" w:rsidP="00D76676">
                        <w:pPr>
                          <w:pStyle w:val="NormalWeb"/>
                          <w:shd w:val="clear" w:color="auto" w:fill="FFFFFF"/>
                          <w:spacing w:before="0" w:beforeAutospacing="0" w:after="0" w:afterAutospacing="0"/>
                          <w:textAlignment w:val="baseline"/>
                          <w:rPr>
                            <w:rFonts w:ascii="Helvetica" w:hAnsi="Helvetica" w:cs="Helvetica"/>
                            <w:color w:val="242424"/>
                          </w:rPr>
                        </w:pPr>
                        <w:r w:rsidRPr="007C28AA">
                          <w:rPr>
                            <w:rFonts w:ascii="Helvetica" w:hAnsi="Helvetica" w:cs="Helvetica"/>
                            <w:color w:val="000000"/>
                          </w:rPr>
                          <w:t>Th</w:t>
                        </w:r>
                        <w:r>
                          <w:rPr>
                            <w:rFonts w:ascii="Helvetica" w:hAnsi="Helvetica" w:cs="Helvetica"/>
                            <w:color w:val="000000"/>
                          </w:rPr>
                          <w:t>e guidelines</w:t>
                        </w:r>
                        <w:r w:rsidRPr="007C28AA">
                          <w:rPr>
                            <w:rFonts w:ascii="Helvetica" w:hAnsi="Helvetica" w:cs="Helvetica"/>
                            <w:color w:val="000000"/>
                          </w:rPr>
                          <w:t xml:space="preserve"> include </w:t>
                        </w:r>
                        <w:r>
                          <w:rPr>
                            <w:rFonts w:ascii="Helvetica" w:hAnsi="Helvetica" w:cs="Helvetica"/>
                            <w:color w:val="000000"/>
                          </w:rPr>
                          <w:t>a</w:t>
                        </w:r>
                        <w:r w:rsidRPr="007C28AA">
                          <w:rPr>
                            <w:rFonts w:ascii="Helvetica" w:hAnsi="Helvetica" w:cs="Helvetica"/>
                            <w:color w:val="000000"/>
                          </w:rPr>
                          <w:t xml:space="preserve"> position statement on the off-label use of testosterone</w:t>
                        </w:r>
                        <w:r>
                          <w:rPr>
                            <w:rFonts w:ascii="Helvetica" w:hAnsi="Helvetica" w:cs="Helvetica"/>
                            <w:color w:val="000000"/>
                          </w:rPr>
                          <w:t>,</w:t>
                        </w:r>
                        <w:r w:rsidRPr="007C28AA">
                          <w:rPr>
                            <w:rFonts w:ascii="Helvetica" w:hAnsi="Helvetica" w:cs="Helvetica"/>
                            <w:color w:val="000000"/>
                          </w:rPr>
                          <w:t xml:space="preserve"> under “Testosterone”</w:t>
                        </w:r>
                        <w:r>
                          <w:rPr>
                            <w:rFonts w:ascii="Helvetica" w:hAnsi="Helvetica" w:cs="Helvetica"/>
                            <w:color w:val="000000"/>
                          </w:rPr>
                          <w:t>, as well as other guidance which may be useful such as information about managing HRT shortages, prescription charges and durations, private prescriptions, bioidentical hormones, and patient information/resources.</w:t>
                        </w:r>
                      </w:p>
                      <w:p w14:paraId="081FB93D" w14:textId="77777777" w:rsidR="00D76676" w:rsidRPr="007C28AA" w:rsidRDefault="00D76676" w:rsidP="00D76676">
                        <w:pPr>
                          <w:rPr>
                            <w:rFonts w:ascii="Helvetica" w:hAnsi="Helvetica" w:cs="Helvetica"/>
                            <w:bCs/>
                            <w:sz w:val="24"/>
                            <w:szCs w:val="24"/>
                          </w:rPr>
                        </w:pPr>
                      </w:p>
                      <w:p w14:paraId="44121BEC" w14:textId="77777777" w:rsidR="00D76676" w:rsidRPr="007C28AA" w:rsidRDefault="00D76676" w:rsidP="00D76676">
                        <w:pPr>
                          <w:pStyle w:val="NormalWeb"/>
                          <w:shd w:val="clear" w:color="auto" w:fill="FFFFFF"/>
                          <w:spacing w:before="0" w:beforeAutospacing="0" w:after="0" w:afterAutospacing="0"/>
                          <w:textAlignment w:val="baseline"/>
                          <w:rPr>
                            <w:rFonts w:ascii="Helvetica" w:hAnsi="Helvetica" w:cs="Helvetica"/>
                            <w:color w:val="242424"/>
                          </w:rPr>
                        </w:pPr>
                        <w:r w:rsidRPr="007C28AA">
                          <w:rPr>
                            <w:rFonts w:ascii="Helvetica" w:hAnsi="Helvetica" w:cs="Helvetica"/>
                            <w:color w:val="000000"/>
                            <w:bdr w:val="none" w:sz="0" w:space="0" w:color="auto" w:frame="1"/>
                          </w:rPr>
                          <w:t xml:space="preserve">Please find the approved guidelines embedded below, which can now be used and shared. The guidelines will be uploaded to all formulary websites in due course. </w:t>
                        </w:r>
                      </w:p>
                      <w:p w14:paraId="05C60082" w14:textId="77777777" w:rsidR="00D76676" w:rsidRPr="007C28AA" w:rsidRDefault="00D76676" w:rsidP="00D76676">
                        <w:pPr>
                          <w:rPr>
                            <w:rFonts w:ascii="Helvetica" w:hAnsi="Helvetica" w:cs="Helvetica"/>
                            <w:sz w:val="24"/>
                            <w:szCs w:val="24"/>
                          </w:rPr>
                        </w:pPr>
                      </w:p>
                      <w:p w14:paraId="180E318D" w14:textId="1406266D" w:rsidR="00D76676" w:rsidRPr="007C28AA" w:rsidRDefault="00534AD8" w:rsidP="00D76676">
                        <w:pPr>
                          <w:rPr>
                            <w:rFonts w:ascii="Helvetica" w:hAnsi="Helvetica" w:cs="Helvetica"/>
                            <w:sz w:val="24"/>
                            <w:szCs w:val="24"/>
                          </w:rPr>
                        </w:pPr>
                        <w:r w:rsidRPr="007C28AA">
                          <w:rPr>
                            <w:rFonts w:ascii="Helvetica" w:hAnsi="Helvetica" w:cs="Helvetica"/>
                            <w:sz w:val="24"/>
                            <w:szCs w:val="24"/>
                          </w:rPr>
                          <w:object w:dxaOrig="1311" w:dyaOrig="849" w14:anchorId="5F83D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4pt;height:42pt" o:ole="">
                              <v:imagedata r:id="rId11" o:title=""/>
                            </v:shape>
                            <o:OLEObject Type="Embed" ProgID="AcroExch.Document.DC" ShapeID="_x0000_i1028" DrawAspect="Icon" ObjectID="_1746258902" r:id="rId12"/>
                          </w:object>
                        </w:r>
                      </w:p>
                      <w:p w14:paraId="738FBC25" w14:textId="77777777" w:rsidR="00D76676" w:rsidRPr="007C28AA" w:rsidRDefault="00D76676" w:rsidP="00D76676">
                        <w:pPr>
                          <w:rPr>
                            <w:rFonts w:ascii="Helvetica" w:hAnsi="Helvetica" w:cs="Helvetica"/>
                            <w:sz w:val="24"/>
                            <w:szCs w:val="24"/>
                          </w:rPr>
                        </w:pPr>
                      </w:p>
                      <w:p w14:paraId="6C31D40B" w14:textId="77777777" w:rsidR="00D76676" w:rsidRPr="007C28AA" w:rsidRDefault="00D76676" w:rsidP="00D76676">
                        <w:pPr>
                          <w:shd w:val="clear" w:color="auto" w:fill="FFFFFF"/>
                          <w:textAlignment w:val="baseline"/>
                          <w:rPr>
                            <w:rFonts w:ascii="Helvetica" w:hAnsi="Helvetica" w:cs="Helvetica"/>
                            <w:color w:val="000000"/>
                            <w:sz w:val="24"/>
                            <w:szCs w:val="24"/>
                          </w:rPr>
                        </w:pPr>
                        <w:r w:rsidRPr="007C28AA">
                          <w:rPr>
                            <w:rFonts w:ascii="Helvetica" w:hAnsi="Helvetica" w:cs="Helvetica"/>
                            <w:color w:val="000000"/>
                            <w:sz w:val="24"/>
                            <w:szCs w:val="24"/>
                          </w:rPr>
                          <w:t>Along with the guidelines being approved, the formularies were reviewed and have been aligned across Kent &amp; Medway for HRT. The agreed formulary is within the guidelines, under “Formulary Treatment Options”</w:t>
                        </w:r>
                        <w:r>
                          <w:rPr>
                            <w:rFonts w:ascii="Helvetica" w:hAnsi="Helvetica" w:cs="Helvetica"/>
                            <w:color w:val="000000"/>
                            <w:sz w:val="24"/>
                            <w:szCs w:val="24"/>
                          </w:rPr>
                          <w:t>. T</w:t>
                        </w:r>
                        <w:r w:rsidRPr="007C28AA">
                          <w:rPr>
                            <w:rFonts w:ascii="Helvetica" w:hAnsi="Helvetica" w:cs="Helvetica"/>
                            <w:color w:val="000000"/>
                            <w:sz w:val="24"/>
                            <w:szCs w:val="24"/>
                          </w:rPr>
                          <w:t xml:space="preserve">he formulary websites will also be updated </w:t>
                        </w:r>
                        <w:r>
                          <w:rPr>
                            <w:rFonts w:ascii="Helvetica" w:hAnsi="Helvetica" w:cs="Helvetica"/>
                            <w:color w:val="000000"/>
                            <w:sz w:val="24"/>
                            <w:szCs w:val="24"/>
                          </w:rPr>
                          <w:t>in due course</w:t>
                        </w:r>
                        <w:r w:rsidRPr="007C28AA">
                          <w:rPr>
                            <w:rFonts w:ascii="Helvetica" w:hAnsi="Helvetica" w:cs="Helvetica"/>
                            <w:color w:val="000000"/>
                            <w:sz w:val="24"/>
                            <w:szCs w:val="24"/>
                          </w:rPr>
                          <w:t xml:space="preserve"> to reflect th</w:t>
                        </w:r>
                        <w:r>
                          <w:rPr>
                            <w:rFonts w:ascii="Helvetica" w:hAnsi="Helvetica" w:cs="Helvetica"/>
                            <w:color w:val="000000"/>
                            <w:sz w:val="24"/>
                            <w:szCs w:val="24"/>
                          </w:rPr>
                          <w:t>is</w:t>
                        </w:r>
                        <w:r w:rsidRPr="007C28AA">
                          <w:rPr>
                            <w:rFonts w:ascii="Helvetica" w:hAnsi="Helvetica" w:cs="Helvetica"/>
                            <w:color w:val="000000"/>
                            <w:sz w:val="24"/>
                            <w:szCs w:val="24"/>
                          </w:rPr>
                          <w:t xml:space="preserve">. </w:t>
                        </w:r>
                      </w:p>
                      <w:p w14:paraId="6AE3831B" w14:textId="77777777" w:rsidR="00D76676" w:rsidRPr="002760D5" w:rsidRDefault="00D76676" w:rsidP="00D76676">
                        <w:pPr>
                          <w:pBdr>
                            <w:bottom w:val="single" w:sz="12" w:space="1" w:color="auto"/>
                          </w:pBdr>
                          <w:spacing w:before="150" w:after="150" w:line="360" w:lineRule="auto"/>
                          <w:ind w:firstLine="720"/>
                          <w:rPr>
                            <w:rFonts w:ascii="Helvetica" w:hAnsi="Helvetica" w:cs="Helvetica"/>
                            <w:color w:val="202020"/>
                            <w:sz w:val="28"/>
                            <w:szCs w:val="28"/>
                          </w:rPr>
                        </w:pPr>
                      </w:p>
                      <w:p w14:paraId="35298018" w14:textId="77777777" w:rsidR="00D76676" w:rsidRDefault="00D76676" w:rsidP="00D76676">
                        <w:pPr>
                          <w:spacing w:before="150" w:after="150" w:line="360" w:lineRule="auto"/>
                          <w:rPr>
                            <w:rFonts w:ascii="Helvetica" w:hAnsi="Helvetica" w:cs="Helvetica"/>
                            <w:color w:val="202020"/>
                            <w:sz w:val="24"/>
                            <w:szCs w:val="24"/>
                          </w:rPr>
                        </w:pPr>
                        <w:bookmarkStart w:id="3" w:name="seriousincident"/>
                        <w:r>
                          <w:rPr>
                            <w:rFonts w:ascii="Helvetica" w:eastAsia="Times New Roman" w:hAnsi="Helvetica" w:cs="Helvetica"/>
                            <w:b/>
                            <w:bCs/>
                            <w:color w:val="00A499"/>
                            <w:sz w:val="33"/>
                            <w:szCs w:val="33"/>
                          </w:rPr>
                          <w:t>Sharing Learning from a Serious Incident</w:t>
                        </w:r>
                      </w:p>
                      <w:bookmarkEnd w:id="3"/>
                      <w:p w14:paraId="1423F81B" w14:textId="77777777" w:rsidR="00D76676" w:rsidRPr="009379B7" w:rsidRDefault="00D76676" w:rsidP="00D76676">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 xml:space="preserve">A serious incident has been reported to NHS Kent and Medway whereby a patient’s dose of Atomoxetine was increased from 10mg to 80mg in error.  </w:t>
                        </w:r>
                      </w:p>
                      <w:p w14:paraId="42F1E00D" w14:textId="47FBC3D4" w:rsidR="00D76676" w:rsidRPr="009379B7" w:rsidRDefault="00D76676" w:rsidP="00D76676">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 xml:space="preserve">The patient’s specialist agreed an increase in the patients Atomoxetine from 10mg to 18mg.  A verbal medication review report was completed to communicate the change to the patients GP.  This was sent to an external dictation company who transcribed the report, writing 80mg.  The report was checked and sent to the patients GP who amended the repeat prescription in line with the request. </w:t>
                        </w:r>
                      </w:p>
                      <w:p w14:paraId="542D2E0F" w14:textId="77777777" w:rsidR="00D76676" w:rsidRPr="009379B7" w:rsidRDefault="00D76676" w:rsidP="00D76676">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 xml:space="preserve">Atomoxetine 80mg was issued, </w:t>
                        </w:r>
                        <w:proofErr w:type="gramStart"/>
                        <w:r w:rsidRPr="009379B7">
                          <w:rPr>
                            <w:rFonts w:ascii="Helvetica" w:hAnsi="Helvetica" w:cs="Helvetica"/>
                            <w:color w:val="202020"/>
                            <w:sz w:val="24"/>
                            <w:szCs w:val="24"/>
                          </w:rPr>
                          <w:t>dispensed</w:t>
                        </w:r>
                        <w:proofErr w:type="gramEnd"/>
                        <w:r w:rsidRPr="009379B7">
                          <w:rPr>
                            <w:rFonts w:ascii="Helvetica" w:hAnsi="Helvetica" w:cs="Helvetica"/>
                            <w:color w:val="202020"/>
                            <w:sz w:val="24"/>
                            <w:szCs w:val="24"/>
                          </w:rPr>
                          <w:t xml:space="preserve"> and supplied. The patient started taking this dose and became lethargic, nauseous, tachycardic and had difficulty swallowing tablets. </w:t>
                        </w:r>
                      </w:p>
                      <w:p w14:paraId="644CDF65" w14:textId="77777777" w:rsidR="00D76676" w:rsidRPr="009379B7" w:rsidRDefault="00D76676" w:rsidP="00D76676">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 xml:space="preserve">Organisations are asked to consider: </w:t>
                        </w:r>
                      </w:p>
                      <w:p w14:paraId="74231FBF" w14:textId="77777777" w:rsidR="00D76676" w:rsidRPr="009379B7" w:rsidRDefault="00D76676" w:rsidP="007A0431">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 xml:space="preserve">1. Using dictation software that transcribes voice to text </w:t>
                        </w:r>
                      </w:p>
                      <w:p w14:paraId="0285DE79" w14:textId="77777777" w:rsidR="00D76676" w:rsidRPr="009379B7" w:rsidRDefault="00D76676" w:rsidP="00D76676">
                        <w:pPr>
                          <w:spacing w:before="150" w:after="150" w:line="360" w:lineRule="auto"/>
                          <w:rPr>
                            <w:rFonts w:ascii="Helvetica" w:hAnsi="Helvetica" w:cs="Helvetica"/>
                            <w:color w:val="202020"/>
                            <w:sz w:val="24"/>
                            <w:szCs w:val="24"/>
                          </w:rPr>
                        </w:pPr>
                        <w:r w:rsidRPr="009379B7">
                          <w:rPr>
                            <w:rFonts w:ascii="Helvetica" w:hAnsi="Helvetica" w:cs="Helvetica"/>
                            <w:color w:val="202020"/>
                            <w:sz w:val="24"/>
                            <w:szCs w:val="24"/>
                          </w:rPr>
                          <w:t>2.  The written information provided to patient and families around medication change, side effects and direct contact details for immediate support if required.</w:t>
                        </w:r>
                      </w:p>
                      <w:p w14:paraId="64B473A3" w14:textId="77777777" w:rsidR="00D76676" w:rsidRPr="009379B7" w:rsidRDefault="00D76676" w:rsidP="00D76676">
                        <w:pPr>
                          <w:spacing w:before="150" w:after="150" w:line="360" w:lineRule="auto"/>
                          <w:rPr>
                            <w:rFonts w:ascii="Helvetica" w:hAnsi="Helvetica" w:cs="Helvetica"/>
                            <w:color w:val="202020"/>
                            <w:sz w:val="24"/>
                            <w:szCs w:val="24"/>
                          </w:rPr>
                        </w:pPr>
                        <w:r>
                          <w:rPr>
                            <w:rFonts w:ascii="Helvetica" w:hAnsi="Helvetica" w:cs="Helvetica"/>
                            <w:color w:val="202020"/>
                            <w:sz w:val="24"/>
                            <w:szCs w:val="24"/>
                          </w:rPr>
                          <w:t>3.</w:t>
                        </w:r>
                        <w:r w:rsidRPr="009379B7">
                          <w:rPr>
                            <w:rFonts w:ascii="Helvetica" w:hAnsi="Helvetica" w:cs="Helvetica"/>
                            <w:color w:val="202020"/>
                            <w:sz w:val="24"/>
                            <w:szCs w:val="24"/>
                          </w:rPr>
                          <w:t xml:space="preserve"> The use of medication templates where clinical systems will allow to review dictation element of medication transcription.</w:t>
                        </w:r>
                      </w:p>
                      <w:p w14:paraId="79C53072" w14:textId="77777777" w:rsidR="00D76676" w:rsidRDefault="00D76676" w:rsidP="00D76676">
                        <w:pPr>
                          <w:spacing w:before="150" w:after="150" w:line="360" w:lineRule="auto"/>
                          <w:rPr>
                            <w:rFonts w:ascii="Helvetica" w:eastAsia="Times New Roman" w:hAnsi="Helvetica" w:cs="Helvetica"/>
                            <w:color w:val="202020"/>
                            <w:sz w:val="24"/>
                            <w:szCs w:val="24"/>
                          </w:rPr>
                        </w:pPr>
                        <w:r>
                          <w:rPr>
                            <w:rFonts w:ascii="Helvetica" w:hAnsi="Helvetica" w:cs="Helvetica"/>
                            <w:color w:val="202020"/>
                            <w:sz w:val="24"/>
                            <w:szCs w:val="24"/>
                          </w:rPr>
                          <w:t>4.</w:t>
                        </w:r>
                        <w:r w:rsidRPr="009379B7">
                          <w:rPr>
                            <w:rFonts w:ascii="Helvetica" w:hAnsi="Helvetica" w:cs="Helvetica"/>
                            <w:color w:val="202020"/>
                            <w:sz w:val="24"/>
                            <w:szCs w:val="24"/>
                          </w:rPr>
                          <w:t xml:space="preserve">  How changes to repeat medications are checked and approved. </w:t>
                        </w:r>
                        <w:r>
                          <w:rPr>
                            <w:rFonts w:ascii="Helvetica" w:hAnsi="Helvetica" w:cs="Helvetica"/>
                            <w:color w:val="202020"/>
                            <w:sz w:val="24"/>
                            <w:szCs w:val="24"/>
                          </w:rPr>
                          <w:t xml:space="preserve"> </w:t>
                        </w:r>
                        <w:r w:rsidRPr="00BB6A3C">
                          <w:rPr>
                            <w:rFonts w:ascii="Helvetica" w:hAnsi="Helvetica" w:cs="Helvetica"/>
                            <w:color w:val="202020"/>
                            <w:sz w:val="24"/>
                            <w:szCs w:val="24"/>
                          </w:rPr>
                          <w:t xml:space="preserve"> </w:t>
                        </w:r>
                        <w:r>
                          <w:rPr>
                            <w:rFonts w:ascii="Helvetica" w:eastAsia="Times New Roman" w:hAnsi="Helvetica" w:cs="Helvetica"/>
                            <w:color w:val="202020"/>
                            <w:sz w:val="24"/>
                            <w:szCs w:val="24"/>
                          </w:rPr>
                          <w:t> </w:t>
                        </w:r>
                      </w:p>
                      <w:p w14:paraId="0A21D8D5" w14:textId="77777777" w:rsidR="007A0431" w:rsidRPr="000803AE" w:rsidRDefault="007A0431" w:rsidP="007A0431">
                        <w:pPr>
                          <w:pBdr>
                            <w:bottom w:val="single" w:sz="12" w:space="1" w:color="auto"/>
                          </w:pBdr>
                          <w:spacing w:before="150" w:after="150" w:line="360" w:lineRule="auto"/>
                          <w:rPr>
                            <w:rFonts w:ascii="Helvetica" w:hAnsi="Helvetica" w:cs="Helvetica"/>
                            <w:color w:val="202020"/>
                            <w:sz w:val="24"/>
                            <w:szCs w:val="24"/>
                          </w:rPr>
                        </w:pPr>
                      </w:p>
                      <w:p w14:paraId="71343CB7" w14:textId="21F4F2EB" w:rsidR="007326F1" w:rsidRPr="007326F1" w:rsidRDefault="007326F1" w:rsidP="00942CC3">
                        <w:pPr>
                          <w:spacing w:before="150" w:after="150" w:line="360" w:lineRule="auto"/>
                          <w:rPr>
                            <w:rFonts w:ascii="Helvetica" w:hAnsi="Helvetica" w:cs="Helvetica"/>
                            <w:color w:val="202020"/>
                            <w:sz w:val="24"/>
                            <w:szCs w:val="24"/>
                          </w:rPr>
                        </w:pPr>
                        <w:bookmarkStart w:id="4" w:name="Story3"/>
                        <w:r w:rsidRPr="007326F1">
                          <w:rPr>
                            <w:rFonts w:ascii="Helvetica" w:eastAsia="Times New Roman" w:hAnsi="Helvetica" w:cs="Helvetica"/>
                            <w:b/>
                            <w:bCs/>
                            <w:color w:val="00A499"/>
                            <w:sz w:val="33"/>
                            <w:szCs w:val="33"/>
                          </w:rPr>
                          <w:t>Potential under-recognised risk of harm from the use of propranolol in certain patient cohort</w:t>
                        </w:r>
                        <w:r>
                          <w:rPr>
                            <w:rFonts w:ascii="Helvetica" w:eastAsia="Times New Roman" w:hAnsi="Helvetica" w:cs="Helvetica"/>
                            <w:b/>
                            <w:bCs/>
                            <w:color w:val="00A499"/>
                            <w:sz w:val="33"/>
                            <w:szCs w:val="33"/>
                          </w:rPr>
                          <w:t>s</w:t>
                        </w:r>
                        <w:bookmarkEnd w:id="4"/>
                      </w:p>
                      <w:p w14:paraId="2AC0D647" w14:textId="2C3799FD" w:rsidR="007326F1" w:rsidRPr="007326F1" w:rsidRDefault="007326F1" w:rsidP="007326F1">
                        <w:pPr>
                          <w:pBdr>
                            <w:bottom w:val="single" w:sz="12" w:space="1" w:color="auto"/>
                          </w:pBdr>
                          <w:spacing w:before="150" w:after="150" w:line="360" w:lineRule="auto"/>
                          <w:rPr>
                            <w:rFonts w:ascii="Helvetica" w:hAnsi="Helvetica" w:cs="Helvetica"/>
                            <w:color w:val="202020"/>
                            <w:sz w:val="24"/>
                            <w:szCs w:val="24"/>
                          </w:rPr>
                        </w:pPr>
                        <w:r w:rsidRPr="007326F1">
                          <w:rPr>
                            <w:rFonts w:ascii="Helvetica" w:hAnsi="Helvetica" w:cs="Helvetica"/>
                            <w:color w:val="202020"/>
                            <w:sz w:val="24"/>
                            <w:szCs w:val="24"/>
                          </w:rPr>
                          <w:t xml:space="preserve">In February 2020 the Healthcare Safety Investigation Branch (HSIB) undertook an investigation into the under-recognised toxicity of propranolol in overdose following the unfortunate death of a patient from an overdose of propranolol. </w:t>
                        </w:r>
                      </w:p>
                      <w:p w14:paraId="05BBE8E5" w14:textId="216ABC3C" w:rsidR="007326F1" w:rsidRPr="007326F1" w:rsidRDefault="00534AD8" w:rsidP="007326F1">
                        <w:pPr>
                          <w:pBdr>
                            <w:bottom w:val="single" w:sz="12" w:space="1" w:color="auto"/>
                          </w:pBdr>
                          <w:spacing w:before="150" w:after="150" w:line="360" w:lineRule="auto"/>
                          <w:rPr>
                            <w:rFonts w:ascii="Helvetica" w:hAnsi="Helvetica" w:cs="Helvetica"/>
                            <w:color w:val="202020"/>
                            <w:sz w:val="24"/>
                            <w:szCs w:val="24"/>
                          </w:rPr>
                        </w:pPr>
                        <w:r>
                          <w:rPr>
                            <w:rFonts w:ascii="Helvetica" w:hAnsi="Helvetica" w:cs="Helvetica"/>
                            <w:color w:val="202020"/>
                            <w:sz w:val="24"/>
                            <w:szCs w:val="24"/>
                          </w:rPr>
                          <w:t>A</w:t>
                        </w:r>
                        <w:r w:rsidR="007326F1" w:rsidRPr="007326F1">
                          <w:rPr>
                            <w:rFonts w:ascii="Helvetica" w:hAnsi="Helvetica" w:cs="Helvetica"/>
                            <w:color w:val="202020"/>
                            <w:sz w:val="24"/>
                            <w:szCs w:val="24"/>
                          </w:rPr>
                          <w:t>s a reminder, the medicines optimisation team wishes to highlight to clinicians the potential under-recognised risk of propranolol toxicity in overdose, and the increased risk in patients with co-existing migraine, depression, or anxiety who are taking antidepressants, who may use propranolol for self-harm.</w:t>
                        </w:r>
                      </w:p>
                      <w:p w14:paraId="6E05CE65" w14:textId="0154F2D8" w:rsidR="00E24241" w:rsidRDefault="007326F1" w:rsidP="007326F1">
                        <w:pPr>
                          <w:pBdr>
                            <w:bottom w:val="single" w:sz="12" w:space="1" w:color="auto"/>
                          </w:pBdr>
                          <w:spacing w:before="150" w:after="150" w:line="360" w:lineRule="auto"/>
                          <w:rPr>
                            <w:rFonts w:ascii="Helvetica" w:hAnsi="Helvetica" w:cs="Helvetica"/>
                            <w:color w:val="202020"/>
                            <w:sz w:val="24"/>
                            <w:szCs w:val="24"/>
                          </w:rPr>
                        </w:pPr>
                        <w:r w:rsidRPr="007326F1">
                          <w:rPr>
                            <w:rFonts w:ascii="Helvetica" w:hAnsi="Helvetica" w:cs="Helvetica"/>
                            <w:color w:val="202020"/>
                            <w:sz w:val="24"/>
                            <w:szCs w:val="24"/>
                          </w:rPr>
                          <w:t>Further information on the national investigation and safety recommendations are included in the full report which is available</w:t>
                        </w:r>
                        <w:hyperlink r:id="rId13" w:history="1">
                          <w:r w:rsidRPr="00BB3EF1">
                            <w:rPr>
                              <w:rStyle w:val="Hyperlink"/>
                              <w:rFonts w:ascii="Helvetica" w:hAnsi="Helvetica" w:cs="Helvetica"/>
                              <w:sz w:val="24"/>
                              <w:szCs w:val="24"/>
                            </w:rPr>
                            <w:t xml:space="preserve"> here</w:t>
                          </w:r>
                        </w:hyperlink>
                        <w:r w:rsidRPr="007326F1">
                          <w:rPr>
                            <w:rFonts w:ascii="Helvetica" w:hAnsi="Helvetica" w:cs="Helvetica"/>
                            <w:color w:val="202020"/>
                            <w:sz w:val="24"/>
                            <w:szCs w:val="24"/>
                          </w:rPr>
                          <w:t>.</w:t>
                        </w:r>
                        <w:r w:rsidR="00E24241">
                          <w:rPr>
                            <w:rFonts w:ascii="Helvetica" w:hAnsi="Helvetica" w:cs="Helvetica"/>
                            <w:color w:val="202020"/>
                            <w:sz w:val="24"/>
                            <w:szCs w:val="24"/>
                          </w:rPr>
                          <w:t xml:space="preserve"> </w:t>
                        </w:r>
                      </w:p>
                      <w:p w14:paraId="27A91088" w14:textId="77777777" w:rsidR="006C00E9" w:rsidRPr="001C74D0" w:rsidRDefault="006C00E9" w:rsidP="006C00E9">
                        <w:pPr>
                          <w:pBdr>
                            <w:bottom w:val="single" w:sz="12" w:space="1" w:color="auto"/>
                          </w:pBdr>
                          <w:spacing w:before="150" w:after="150" w:line="360" w:lineRule="auto"/>
                          <w:rPr>
                            <w:rFonts w:ascii="Helvetica" w:hAnsi="Helvetica" w:cs="Helvetica"/>
                            <w:color w:val="202020"/>
                            <w:sz w:val="24"/>
                            <w:szCs w:val="24"/>
                          </w:rPr>
                        </w:pPr>
                      </w:p>
                      <w:p w14:paraId="6A85B8BB" w14:textId="77777777" w:rsidR="006C00E9" w:rsidRDefault="006C00E9" w:rsidP="006C00E9">
                        <w:pPr>
                          <w:spacing w:before="150" w:after="150" w:line="360" w:lineRule="auto"/>
                          <w:rPr>
                            <w:rFonts w:ascii="Helvetica" w:eastAsia="Times New Roman" w:hAnsi="Helvetica" w:cs="Helvetica"/>
                            <w:b/>
                            <w:bCs/>
                            <w:color w:val="00A499"/>
                            <w:sz w:val="33"/>
                            <w:szCs w:val="33"/>
                          </w:rPr>
                        </w:pPr>
                      </w:p>
                      <w:p w14:paraId="4D9955AE" w14:textId="77777777" w:rsidR="008864EC" w:rsidRDefault="008864EC" w:rsidP="006C00E9">
                        <w:pPr>
                          <w:spacing w:before="150" w:after="150" w:line="360" w:lineRule="auto"/>
                          <w:rPr>
                            <w:rFonts w:ascii="Helvetica" w:eastAsia="Times New Roman" w:hAnsi="Helvetica" w:cs="Helvetica"/>
                            <w:b/>
                            <w:bCs/>
                            <w:color w:val="00A499"/>
                            <w:sz w:val="33"/>
                            <w:szCs w:val="33"/>
                          </w:rPr>
                        </w:pPr>
                      </w:p>
                      <w:p w14:paraId="3CB7C414" w14:textId="14143795" w:rsidR="007164C2" w:rsidRDefault="00BB3EF1" w:rsidP="007164C2">
                        <w:pPr>
                          <w:spacing w:before="150" w:after="150" w:line="360" w:lineRule="auto"/>
                          <w:rPr>
                            <w:rFonts w:ascii="Helvetica" w:hAnsi="Helvetica" w:cs="Helvetica"/>
                            <w:color w:val="202020"/>
                            <w:sz w:val="24"/>
                            <w:szCs w:val="24"/>
                          </w:rPr>
                        </w:pPr>
                        <w:bookmarkStart w:id="5" w:name="localarea"/>
                        <w:r>
                          <w:rPr>
                            <w:rFonts w:ascii="Helvetica" w:eastAsia="Times New Roman" w:hAnsi="Helvetica" w:cs="Helvetica"/>
                            <w:b/>
                            <w:bCs/>
                            <w:color w:val="00A499"/>
                            <w:sz w:val="33"/>
                            <w:szCs w:val="33"/>
                          </w:rPr>
                          <w:t xml:space="preserve">MHRA Drug Safety Update </w:t>
                        </w:r>
                        <w:r w:rsidR="002760D5">
                          <w:rPr>
                            <w:rFonts w:ascii="Helvetica" w:eastAsia="Times New Roman" w:hAnsi="Helvetica" w:cs="Helvetica"/>
                            <w:b/>
                            <w:bCs/>
                            <w:color w:val="00A499"/>
                            <w:sz w:val="33"/>
                            <w:szCs w:val="33"/>
                          </w:rPr>
                          <w:t>– April 2023</w:t>
                        </w:r>
                      </w:p>
                      <w:bookmarkEnd w:id="5"/>
                      <w:p w14:paraId="310E8B42" w14:textId="0B64B71D" w:rsidR="002760D5" w:rsidRPr="002760D5" w:rsidRDefault="002760D5" w:rsidP="002760D5">
                        <w:pPr>
                          <w:rPr>
                            <w:rFonts w:ascii="Helvetica" w:hAnsi="Helvetica" w:cs="Helvetica"/>
                            <w:sz w:val="24"/>
                            <w:szCs w:val="24"/>
                          </w:rPr>
                        </w:pPr>
                        <w:r w:rsidRPr="002760D5">
                          <w:rPr>
                            <w:rFonts w:ascii="Helvetica" w:hAnsi="Helvetica" w:cs="Helvetica"/>
                            <w:sz w:val="24"/>
                            <w:szCs w:val="24"/>
                          </w:rPr>
                          <w:t xml:space="preserve">The latest MHRA Drug Safety Updates can be accessed at </w:t>
                        </w:r>
                        <w:hyperlink r:id="rId14" w:history="1">
                          <w:r w:rsidRPr="002760D5">
                            <w:rPr>
                              <w:rStyle w:val="Hyperlink"/>
                              <w:rFonts w:ascii="Helvetica" w:hAnsi="Helvetica" w:cs="Helvetica"/>
                              <w:sz w:val="24"/>
                              <w:szCs w:val="24"/>
                            </w:rPr>
                            <w:t>Drug</w:t>
                          </w:r>
                          <w:r w:rsidRPr="002760D5">
                            <w:rPr>
                              <w:rStyle w:val="Hyperlink"/>
                              <w:rFonts w:ascii="Helvetica" w:hAnsi="Helvetica" w:cs="Helvetica"/>
                              <w:sz w:val="24"/>
                              <w:szCs w:val="24"/>
                            </w:rPr>
                            <w:t xml:space="preserve"> </w:t>
                          </w:r>
                          <w:r w:rsidRPr="002760D5">
                            <w:rPr>
                              <w:rStyle w:val="Hyperlink"/>
                              <w:rFonts w:ascii="Helvetica" w:hAnsi="Helvetica" w:cs="Helvetica"/>
                              <w:sz w:val="24"/>
                              <w:szCs w:val="24"/>
                            </w:rPr>
                            <w:t>Safety Update - GOV.UK (www.gov.uk)</w:t>
                          </w:r>
                        </w:hyperlink>
                        <w:r w:rsidRPr="002760D5">
                          <w:rPr>
                            <w:rFonts w:ascii="Helvetica" w:hAnsi="Helvetica" w:cs="Helvetica"/>
                            <w:sz w:val="24"/>
                            <w:szCs w:val="24"/>
                          </w:rPr>
                          <w:t xml:space="preserve"> . This includes links to alerts, recalls and safety information and to the monthly Drug Safety Update PDF newsletter. </w:t>
                        </w:r>
                      </w:p>
                      <w:p w14:paraId="3E18F713" w14:textId="77777777" w:rsidR="00942CC3" w:rsidRDefault="00942CC3" w:rsidP="002760D5">
                        <w:pPr>
                          <w:rPr>
                            <w:rFonts w:ascii="Helvetica" w:hAnsi="Helvetica" w:cs="Helvetica"/>
                            <w:b/>
                            <w:bCs/>
                            <w:sz w:val="24"/>
                            <w:szCs w:val="24"/>
                          </w:rPr>
                        </w:pPr>
                      </w:p>
                      <w:p w14:paraId="16013267" w14:textId="08304021" w:rsidR="002760D5" w:rsidRPr="002760D5" w:rsidRDefault="002760D5" w:rsidP="002760D5">
                        <w:pPr>
                          <w:rPr>
                            <w:rFonts w:ascii="Helvetica" w:hAnsi="Helvetica" w:cs="Helvetica"/>
                            <w:b/>
                            <w:bCs/>
                            <w:sz w:val="24"/>
                            <w:szCs w:val="24"/>
                          </w:rPr>
                        </w:pPr>
                        <w:r w:rsidRPr="002760D5">
                          <w:rPr>
                            <w:rFonts w:ascii="Helvetica" w:hAnsi="Helvetica" w:cs="Helvetica"/>
                            <w:b/>
                            <w:bCs/>
                            <w:sz w:val="24"/>
                            <w:szCs w:val="24"/>
                          </w:rPr>
                          <w:t xml:space="preserve">The April 2023 Drug Safety Update includes: </w:t>
                        </w:r>
                      </w:p>
                      <w:p w14:paraId="46F76193" w14:textId="77777777" w:rsidR="002760D5" w:rsidRPr="002760D5" w:rsidRDefault="00677D69" w:rsidP="002760D5">
                        <w:pPr>
                          <w:rPr>
                            <w:rFonts w:ascii="Helvetica" w:hAnsi="Helvetica" w:cs="Helvetica"/>
                            <w:b/>
                            <w:bCs/>
                            <w:sz w:val="24"/>
                            <w:szCs w:val="24"/>
                          </w:rPr>
                        </w:pPr>
                        <w:hyperlink r:id="rId15" w:history="1">
                          <w:r w:rsidR="002760D5" w:rsidRPr="002760D5">
                            <w:rPr>
                              <w:rStyle w:val="Hyperlink"/>
                              <w:rFonts w:ascii="Helvetica" w:hAnsi="Helvetica" w:cs="Helvetica"/>
                              <w:sz w:val="24"/>
                              <w:szCs w:val="24"/>
                            </w:rPr>
                            <w:t>Nitrofurantoin: reminder of the risks of p</w:t>
                          </w:r>
                          <w:r w:rsidR="002760D5" w:rsidRPr="002760D5">
                            <w:rPr>
                              <w:rStyle w:val="Hyperlink"/>
                              <w:rFonts w:ascii="Helvetica" w:hAnsi="Helvetica" w:cs="Helvetica"/>
                              <w:sz w:val="24"/>
                              <w:szCs w:val="24"/>
                            </w:rPr>
                            <w:t>u</w:t>
                          </w:r>
                          <w:r w:rsidR="002760D5" w:rsidRPr="002760D5">
                            <w:rPr>
                              <w:rStyle w:val="Hyperlink"/>
                              <w:rFonts w:ascii="Helvetica" w:hAnsi="Helvetica" w:cs="Helvetica"/>
                              <w:sz w:val="24"/>
                              <w:szCs w:val="24"/>
                            </w:rPr>
                            <w:t>lmonary and hepatic adverse drug reactions - GOV.UK (www.gov.uk)</w:t>
                          </w:r>
                        </w:hyperlink>
                      </w:p>
                      <w:p w14:paraId="1B671B2C" w14:textId="77777777" w:rsidR="002760D5" w:rsidRPr="002760D5" w:rsidRDefault="002760D5" w:rsidP="002760D5">
                        <w:pPr>
                          <w:rPr>
                            <w:rFonts w:ascii="Helvetica" w:hAnsi="Helvetica" w:cs="Helvetica"/>
                            <w:sz w:val="24"/>
                            <w:szCs w:val="24"/>
                          </w:rPr>
                        </w:pPr>
                        <w:r w:rsidRPr="002760D5">
                          <w:rPr>
                            <w:rFonts w:ascii="Helvetica" w:hAnsi="Helvetica" w:cs="Helvetica"/>
                            <w:sz w:val="24"/>
                            <w:szCs w:val="24"/>
                          </w:rPr>
                          <w:t>Advice for healthcare professionals:</w:t>
                        </w:r>
                      </w:p>
                      <w:p w14:paraId="5D8A277F"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advise patients and caregivers to be vigilant for new or worsening respiratory symptoms while taking nitrofurantoin and promptly investigate any symptoms that may indicate a pulmonary adverse </w:t>
                        </w:r>
                        <w:proofErr w:type="gramStart"/>
                        <w:r w:rsidRPr="002760D5">
                          <w:rPr>
                            <w:rFonts w:ascii="Helvetica" w:hAnsi="Helvetica" w:cs="Helvetica"/>
                            <w:sz w:val="24"/>
                            <w:szCs w:val="24"/>
                          </w:rPr>
                          <w:t>reaction</w:t>
                        </w:r>
                        <w:proofErr w:type="gramEnd"/>
                      </w:p>
                      <w:p w14:paraId="181A1C0A"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lastRenderedPageBreak/>
                          <w:t xml:space="preserve">pulmonary reactions may occur with short- or long-term use of nitrofurantoin, and increased vigilance for acute pulmonary reactions is required in the first week of </w:t>
                        </w:r>
                        <w:proofErr w:type="gramStart"/>
                        <w:r w:rsidRPr="002760D5">
                          <w:rPr>
                            <w:rFonts w:ascii="Helvetica" w:hAnsi="Helvetica" w:cs="Helvetica"/>
                            <w:sz w:val="24"/>
                            <w:szCs w:val="24"/>
                          </w:rPr>
                          <w:t>treatment</w:t>
                        </w:r>
                        <w:proofErr w:type="gramEnd"/>
                      </w:p>
                      <w:p w14:paraId="3CB26A80"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patients receiving long-term therapy, for example for recurrent urinary tract infections, should be closely monitored for new or worsening respiratory symptoms, especially if </w:t>
                        </w:r>
                        <w:proofErr w:type="gramStart"/>
                        <w:r w:rsidRPr="002760D5">
                          <w:rPr>
                            <w:rFonts w:ascii="Helvetica" w:hAnsi="Helvetica" w:cs="Helvetica"/>
                            <w:sz w:val="24"/>
                            <w:szCs w:val="24"/>
                          </w:rPr>
                          <w:t>elderly</w:t>
                        </w:r>
                        <w:proofErr w:type="gramEnd"/>
                      </w:p>
                      <w:p w14:paraId="23AC7330"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immediately discontinue nitrofurantoin if new or worsening symptoms of pulmonary damage </w:t>
                        </w:r>
                        <w:proofErr w:type="gramStart"/>
                        <w:r w:rsidRPr="002760D5">
                          <w:rPr>
                            <w:rFonts w:ascii="Helvetica" w:hAnsi="Helvetica" w:cs="Helvetica"/>
                            <w:sz w:val="24"/>
                            <w:szCs w:val="24"/>
                          </w:rPr>
                          <w:t>occur</w:t>
                        </w:r>
                        <w:proofErr w:type="gramEnd"/>
                      </w:p>
                      <w:p w14:paraId="29CBC53E"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be vigilant for symptoms and signs of liver dysfunction in patients taking nitrofurantoin for any duration, but particularly with long-term use, and monitor patients periodically for signs of hepatitis and for changes in biochemical tests that would indicate hepatitis or liver </w:t>
                        </w:r>
                        <w:proofErr w:type="gramStart"/>
                        <w:r w:rsidRPr="002760D5">
                          <w:rPr>
                            <w:rFonts w:ascii="Helvetica" w:hAnsi="Helvetica" w:cs="Helvetica"/>
                            <w:sz w:val="24"/>
                            <w:szCs w:val="24"/>
                          </w:rPr>
                          <w:t>injury</w:t>
                        </w:r>
                        <w:proofErr w:type="gramEnd"/>
                      </w:p>
                      <w:p w14:paraId="095A95F9"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use caution when prescribing nitrofurantoin in patients with pulmonary disease or hepatic dysfunction, which may mask the signs and symptoms of adverse </w:t>
                        </w:r>
                        <w:proofErr w:type="gramStart"/>
                        <w:r w:rsidRPr="002760D5">
                          <w:rPr>
                            <w:rFonts w:ascii="Helvetica" w:hAnsi="Helvetica" w:cs="Helvetica"/>
                            <w:sz w:val="24"/>
                            <w:szCs w:val="24"/>
                          </w:rPr>
                          <w:t>reactions</w:t>
                        </w:r>
                        <w:proofErr w:type="gramEnd"/>
                      </w:p>
                      <w:p w14:paraId="733818A4"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 xml:space="preserve">advise patients to read carefully the advice in the Patient Information Leaflet about symptoms of possible pulmonary and hepatic reactions and to seek medical advice if they experience these </w:t>
                        </w:r>
                        <w:proofErr w:type="gramStart"/>
                        <w:r w:rsidRPr="002760D5">
                          <w:rPr>
                            <w:rFonts w:ascii="Helvetica" w:hAnsi="Helvetica" w:cs="Helvetica"/>
                            <w:sz w:val="24"/>
                            <w:szCs w:val="24"/>
                          </w:rPr>
                          <w:t>symptoms</w:t>
                        </w:r>
                        <w:proofErr w:type="gramEnd"/>
                      </w:p>
                      <w:p w14:paraId="4A164BB5" w14:textId="77777777" w:rsidR="002760D5" w:rsidRPr="002760D5" w:rsidRDefault="002760D5" w:rsidP="002760D5">
                        <w:pPr>
                          <w:numPr>
                            <w:ilvl w:val="0"/>
                            <w:numId w:val="5"/>
                          </w:numPr>
                          <w:spacing w:after="160" w:line="259" w:lineRule="auto"/>
                          <w:rPr>
                            <w:rFonts w:ascii="Helvetica" w:hAnsi="Helvetica" w:cs="Helvetica"/>
                            <w:sz w:val="24"/>
                            <w:szCs w:val="24"/>
                          </w:rPr>
                        </w:pPr>
                        <w:r w:rsidRPr="002760D5">
                          <w:rPr>
                            <w:rFonts w:ascii="Helvetica" w:hAnsi="Helvetica" w:cs="Helvetica"/>
                            <w:sz w:val="24"/>
                            <w:szCs w:val="24"/>
                          </w:rPr>
                          <w:t>report suspected adverse drug reactions (ADRs) to the </w:t>
                        </w:r>
                        <w:hyperlink r:id="rId16" w:history="1">
                          <w:r w:rsidRPr="002760D5">
                            <w:rPr>
                              <w:rStyle w:val="Hyperlink"/>
                              <w:rFonts w:ascii="Helvetica" w:hAnsi="Helvetica" w:cs="Helvetica"/>
                              <w:sz w:val="24"/>
                              <w:szCs w:val="24"/>
                            </w:rPr>
                            <w:t xml:space="preserve">Yellow </w:t>
                          </w:r>
                          <w:r w:rsidRPr="002760D5">
                            <w:rPr>
                              <w:rStyle w:val="Hyperlink"/>
                              <w:rFonts w:ascii="Helvetica" w:hAnsi="Helvetica" w:cs="Helvetica"/>
                              <w:sz w:val="24"/>
                              <w:szCs w:val="24"/>
                            </w:rPr>
                            <w:t>C</w:t>
                          </w:r>
                          <w:r w:rsidRPr="002760D5">
                            <w:rPr>
                              <w:rStyle w:val="Hyperlink"/>
                              <w:rFonts w:ascii="Helvetica" w:hAnsi="Helvetica" w:cs="Helvetica"/>
                              <w:sz w:val="24"/>
                              <w:szCs w:val="24"/>
                            </w:rPr>
                            <w:t>ard scheme</w:t>
                          </w:r>
                        </w:hyperlink>
                      </w:p>
                      <w:p w14:paraId="5463299B" w14:textId="77777777" w:rsidR="002760D5" w:rsidRPr="002760D5" w:rsidRDefault="002760D5" w:rsidP="002760D5">
                        <w:pPr>
                          <w:ind w:left="720"/>
                          <w:rPr>
                            <w:rFonts w:ascii="Helvetica" w:hAnsi="Helvetica" w:cs="Helvetica"/>
                            <w:sz w:val="24"/>
                            <w:szCs w:val="24"/>
                          </w:rPr>
                        </w:pPr>
                      </w:p>
                      <w:p w14:paraId="7B400AC1" w14:textId="77777777" w:rsidR="002760D5" w:rsidRPr="002760D5" w:rsidRDefault="00677D69" w:rsidP="002760D5">
                        <w:pPr>
                          <w:rPr>
                            <w:rFonts w:ascii="Helvetica" w:hAnsi="Helvetica" w:cs="Helvetica"/>
                            <w:b/>
                            <w:bCs/>
                            <w:sz w:val="24"/>
                            <w:szCs w:val="24"/>
                          </w:rPr>
                        </w:pPr>
                        <w:hyperlink r:id="rId17" w:history="1">
                          <w:r w:rsidR="002760D5" w:rsidRPr="002760D5">
                            <w:rPr>
                              <w:rStyle w:val="Hyperlink"/>
                              <w:rFonts w:ascii="Helvetica" w:hAnsi="Helvetica" w:cs="Helvetica"/>
                              <w:sz w:val="24"/>
                              <w:szCs w:val="24"/>
                            </w:rPr>
                            <w:t>Isotretinoin (Roaccutane▼): new safety measures to be introduced in the coming months, including additional oversight on</w:t>
                          </w:r>
                          <w:r w:rsidR="002760D5" w:rsidRPr="002760D5">
                            <w:rPr>
                              <w:rStyle w:val="Hyperlink"/>
                              <w:rFonts w:ascii="Helvetica" w:hAnsi="Helvetica" w:cs="Helvetica"/>
                              <w:sz w:val="24"/>
                              <w:szCs w:val="24"/>
                            </w:rPr>
                            <w:t xml:space="preserve"> </w:t>
                          </w:r>
                          <w:r w:rsidR="002760D5" w:rsidRPr="002760D5">
                            <w:rPr>
                              <w:rStyle w:val="Hyperlink"/>
                              <w:rFonts w:ascii="Helvetica" w:hAnsi="Helvetica" w:cs="Helvetica"/>
                              <w:sz w:val="24"/>
                              <w:szCs w:val="24"/>
                            </w:rPr>
                            <w:t>initiation of treatment for patients under 18 years - GOV.UK (www.gov.uk)</w:t>
                          </w:r>
                        </w:hyperlink>
                      </w:p>
                      <w:p w14:paraId="62E97A15" w14:textId="77777777" w:rsidR="002760D5" w:rsidRPr="002760D5" w:rsidRDefault="002760D5" w:rsidP="002760D5">
                        <w:pPr>
                          <w:pStyle w:val="ListParagraph"/>
                          <w:numPr>
                            <w:ilvl w:val="0"/>
                            <w:numId w:val="6"/>
                          </w:numPr>
                          <w:spacing w:after="160" w:line="259" w:lineRule="auto"/>
                          <w:rPr>
                            <w:rFonts w:ascii="Helvetica" w:hAnsi="Helvetica" w:cs="Helvetica"/>
                            <w:sz w:val="24"/>
                            <w:szCs w:val="24"/>
                          </w:rPr>
                        </w:pPr>
                        <w:r w:rsidRPr="002760D5">
                          <w:rPr>
                            <w:rFonts w:ascii="Helvetica" w:hAnsi="Helvetica" w:cs="Helvetica"/>
                            <w:sz w:val="24"/>
                            <w:szCs w:val="24"/>
                          </w:rPr>
                          <w:t>The Isotretinoin Expert Working Group of the Commission on Human Medicines has made recommendations to strengthen the safety of isotretinoin treatment. Recommendations include new warnings, the need for consistent monitoring requirements for psychiatric side effects, the introduction of new monitoring requirements for sexual side effects, and additional oversight of the initiation of treatment for patients younger than 18 years.</w:t>
                        </w:r>
                      </w:p>
                      <w:p w14:paraId="31FD6E17" w14:textId="77777777" w:rsidR="002760D5" w:rsidRPr="002760D5" w:rsidRDefault="002760D5" w:rsidP="002760D5">
                        <w:pPr>
                          <w:pStyle w:val="ListParagraph"/>
                          <w:rPr>
                            <w:rFonts w:ascii="Helvetica" w:hAnsi="Helvetica" w:cs="Helvetica"/>
                            <w:sz w:val="24"/>
                            <w:szCs w:val="24"/>
                          </w:rPr>
                        </w:pPr>
                      </w:p>
                      <w:p w14:paraId="627548DD" w14:textId="77777777" w:rsidR="002760D5" w:rsidRPr="002760D5" w:rsidRDefault="002760D5" w:rsidP="002760D5">
                        <w:pPr>
                          <w:pStyle w:val="ListParagraph"/>
                          <w:numPr>
                            <w:ilvl w:val="0"/>
                            <w:numId w:val="6"/>
                          </w:numPr>
                          <w:spacing w:after="160" w:line="259" w:lineRule="auto"/>
                          <w:rPr>
                            <w:rFonts w:ascii="Helvetica" w:hAnsi="Helvetica" w:cs="Helvetica"/>
                            <w:sz w:val="24"/>
                            <w:szCs w:val="24"/>
                          </w:rPr>
                        </w:pPr>
                        <w:r w:rsidRPr="002760D5">
                          <w:rPr>
                            <w:rFonts w:ascii="Helvetica" w:hAnsi="Helvetica" w:cs="Helvetica"/>
                            <w:sz w:val="24"/>
                            <w:szCs w:val="24"/>
                          </w:rPr>
                          <w:t>While processes to support the implementation of these recommendations across the healthcare system are being developed, prescribers of isotretinoin are reminded of the need to fully inform</w:t>
                        </w:r>
                        <w:r w:rsidRPr="002760D5">
                          <w:rPr>
                            <w:rFonts w:ascii="Helvetica" w:hAnsi="Helvetica" w:cs="Helvetica"/>
                            <w:b/>
                            <w:bCs/>
                            <w:sz w:val="24"/>
                            <w:szCs w:val="24"/>
                          </w:rPr>
                          <w:t xml:space="preserve"> </w:t>
                        </w:r>
                        <w:r w:rsidRPr="002760D5">
                          <w:rPr>
                            <w:rFonts w:ascii="Helvetica" w:hAnsi="Helvetica" w:cs="Helvetica"/>
                            <w:sz w:val="24"/>
                            <w:szCs w:val="24"/>
                          </w:rPr>
                          <w:t>all patients of the potential benefits and risks associated with isotretinoin treatment and monitor patients closely for any side effects throughout treatment.</w:t>
                        </w:r>
                      </w:p>
                      <w:p w14:paraId="48791E53" w14:textId="77777777" w:rsidR="002760D5" w:rsidRPr="002760D5" w:rsidRDefault="00677D69" w:rsidP="002760D5">
                        <w:pPr>
                          <w:rPr>
                            <w:rFonts w:ascii="Helvetica" w:hAnsi="Helvetica" w:cs="Helvetica"/>
                            <w:b/>
                            <w:bCs/>
                            <w:sz w:val="24"/>
                            <w:szCs w:val="24"/>
                          </w:rPr>
                        </w:pPr>
                        <w:hyperlink r:id="rId18" w:history="1">
                          <w:r w:rsidR="002760D5" w:rsidRPr="002760D5">
                            <w:rPr>
                              <w:rStyle w:val="Hyperlink"/>
                              <w:rFonts w:ascii="Helvetica" w:hAnsi="Helvetica" w:cs="Helvetica"/>
                              <w:sz w:val="24"/>
                              <w:szCs w:val="24"/>
                            </w:rPr>
                            <w:t>Janus kinase (JAK) inhibitors: new measures to reduce risks of major cardiovascular events, malignancy, venous thromboembolism, serious infections and increased mortality - G</w:t>
                          </w:r>
                          <w:r w:rsidR="002760D5" w:rsidRPr="002760D5">
                            <w:rPr>
                              <w:rStyle w:val="Hyperlink"/>
                              <w:rFonts w:ascii="Helvetica" w:hAnsi="Helvetica" w:cs="Helvetica"/>
                              <w:sz w:val="24"/>
                              <w:szCs w:val="24"/>
                            </w:rPr>
                            <w:t>O</w:t>
                          </w:r>
                          <w:r w:rsidR="002760D5" w:rsidRPr="002760D5">
                            <w:rPr>
                              <w:rStyle w:val="Hyperlink"/>
                              <w:rFonts w:ascii="Helvetica" w:hAnsi="Helvetica" w:cs="Helvetica"/>
                              <w:sz w:val="24"/>
                              <w:szCs w:val="24"/>
                            </w:rPr>
                            <w:t>V.UK (www.gov.uk)</w:t>
                          </w:r>
                        </w:hyperlink>
                      </w:p>
                      <w:p w14:paraId="698D4066" w14:textId="77777777" w:rsidR="002760D5" w:rsidRPr="002760D5" w:rsidRDefault="002760D5" w:rsidP="002760D5">
                        <w:pPr>
                          <w:rPr>
                            <w:rFonts w:ascii="Helvetica" w:hAnsi="Helvetica" w:cs="Helvetica"/>
                            <w:b/>
                            <w:bCs/>
                            <w:sz w:val="24"/>
                            <w:szCs w:val="24"/>
                          </w:rPr>
                        </w:pPr>
                      </w:p>
                      <w:p w14:paraId="6AEC789F" w14:textId="77777777" w:rsidR="002760D5" w:rsidRPr="002760D5" w:rsidRDefault="00677D69" w:rsidP="002760D5">
                        <w:pPr>
                          <w:rPr>
                            <w:rFonts w:ascii="Helvetica" w:hAnsi="Helvetica" w:cs="Helvetica"/>
                            <w:b/>
                            <w:bCs/>
                            <w:sz w:val="24"/>
                            <w:szCs w:val="24"/>
                          </w:rPr>
                        </w:pPr>
                        <w:hyperlink r:id="rId19" w:history="1">
                          <w:r w:rsidR="002760D5" w:rsidRPr="002760D5">
                            <w:rPr>
                              <w:rStyle w:val="Hyperlink"/>
                              <w:rFonts w:ascii="Helvetica" w:hAnsi="Helvetica" w:cs="Helvetica"/>
                              <w:sz w:val="24"/>
                              <w:szCs w:val="24"/>
                            </w:rPr>
                            <w:t>Letters and medicine recalls se</w:t>
                          </w:r>
                          <w:r w:rsidR="002760D5" w:rsidRPr="002760D5">
                            <w:rPr>
                              <w:rStyle w:val="Hyperlink"/>
                              <w:rFonts w:ascii="Helvetica" w:hAnsi="Helvetica" w:cs="Helvetica"/>
                              <w:sz w:val="24"/>
                              <w:szCs w:val="24"/>
                            </w:rPr>
                            <w:t>n</w:t>
                          </w:r>
                          <w:r w:rsidR="002760D5" w:rsidRPr="002760D5">
                            <w:rPr>
                              <w:rStyle w:val="Hyperlink"/>
                              <w:rFonts w:ascii="Helvetica" w:hAnsi="Helvetica" w:cs="Helvetica"/>
                              <w:sz w:val="24"/>
                              <w:szCs w:val="24"/>
                            </w:rPr>
                            <w:t>t to healthcare professionals in March 2023 - GOV.UK (www.gov.uk)</w:t>
                          </w:r>
                        </w:hyperlink>
                      </w:p>
                      <w:p w14:paraId="0CDC575D" w14:textId="77777777" w:rsidR="002760D5" w:rsidRPr="002760D5" w:rsidRDefault="002760D5" w:rsidP="002760D5">
                        <w:pPr>
                          <w:rPr>
                            <w:rFonts w:ascii="Helvetica" w:hAnsi="Helvetica" w:cs="Helvetica"/>
                            <w:b/>
                            <w:bCs/>
                            <w:sz w:val="24"/>
                            <w:szCs w:val="24"/>
                          </w:rPr>
                        </w:pPr>
                      </w:p>
                      <w:p w14:paraId="7C1037F7" w14:textId="77777777" w:rsidR="002760D5" w:rsidRPr="002760D5" w:rsidRDefault="002760D5" w:rsidP="002760D5">
                        <w:pPr>
                          <w:rPr>
                            <w:rFonts w:ascii="Helvetica" w:hAnsi="Helvetica" w:cs="Helvetica"/>
                            <w:b/>
                            <w:bCs/>
                            <w:sz w:val="24"/>
                            <w:szCs w:val="24"/>
                          </w:rPr>
                        </w:pPr>
                        <w:r w:rsidRPr="002760D5">
                          <w:rPr>
                            <w:rFonts w:ascii="Helvetica" w:hAnsi="Helvetica" w:cs="Helvetica"/>
                            <w:b/>
                            <w:bCs/>
                            <w:sz w:val="24"/>
                            <w:szCs w:val="24"/>
                          </w:rPr>
                          <w:t>Please follow the link in the titles above for more information and resources.</w:t>
                        </w:r>
                      </w:p>
                      <w:p w14:paraId="153FECE1" w14:textId="77777777" w:rsidR="002760D5" w:rsidRPr="002760D5" w:rsidRDefault="002760D5" w:rsidP="002760D5">
                        <w:pPr>
                          <w:rPr>
                            <w:rFonts w:ascii="Helvetica" w:hAnsi="Helvetica" w:cs="Helvetica"/>
                            <w:b/>
                            <w:bCs/>
                            <w:sz w:val="24"/>
                            <w:szCs w:val="24"/>
                          </w:rPr>
                        </w:pPr>
                        <w:r w:rsidRPr="002760D5">
                          <w:rPr>
                            <w:rFonts w:ascii="Helvetica" w:hAnsi="Helvetica" w:cs="Helvetica"/>
                            <w:b/>
                            <w:bCs/>
                            <w:sz w:val="24"/>
                            <w:szCs w:val="24"/>
                          </w:rPr>
                          <w:t xml:space="preserve">The MHRA Central Alerting System alerts can be accessed at </w:t>
                        </w:r>
                        <w:hyperlink r:id="rId20" w:history="1">
                          <w:r w:rsidRPr="002760D5">
                            <w:rPr>
                              <w:rStyle w:val="Hyperlink"/>
                              <w:rFonts w:ascii="Helvetica" w:hAnsi="Helvetica" w:cs="Helvetica"/>
                              <w:sz w:val="24"/>
                              <w:szCs w:val="24"/>
                            </w:rPr>
                            <w:t>https://www.cas.mhra.gov.u</w:t>
                          </w:r>
                          <w:r w:rsidRPr="002760D5">
                            <w:rPr>
                              <w:rStyle w:val="Hyperlink"/>
                              <w:rFonts w:ascii="Helvetica" w:hAnsi="Helvetica" w:cs="Helvetica"/>
                              <w:sz w:val="24"/>
                              <w:szCs w:val="24"/>
                            </w:rPr>
                            <w:t>k</w:t>
                          </w:r>
                          <w:r w:rsidRPr="002760D5">
                            <w:rPr>
                              <w:rStyle w:val="Hyperlink"/>
                              <w:rFonts w:ascii="Helvetica" w:hAnsi="Helvetica" w:cs="Helvetica"/>
                              <w:sz w:val="24"/>
                              <w:szCs w:val="24"/>
                            </w:rPr>
                            <w:t>/Home.aspx</w:t>
                          </w:r>
                        </w:hyperlink>
                        <w:r w:rsidRPr="002760D5">
                          <w:rPr>
                            <w:rFonts w:ascii="Helvetica" w:hAnsi="Helvetica" w:cs="Helvetica"/>
                            <w:b/>
                            <w:bCs/>
                            <w:sz w:val="24"/>
                            <w:szCs w:val="24"/>
                          </w:rPr>
                          <w:t xml:space="preserve">  .</w:t>
                        </w:r>
                      </w:p>
                      <w:p w14:paraId="5D52F958" w14:textId="578C93E6" w:rsidR="009379B7" w:rsidRDefault="009379B7" w:rsidP="00840649">
                        <w:pPr>
                          <w:pBdr>
                            <w:bottom w:val="single" w:sz="12" w:space="1" w:color="auto"/>
                          </w:pBdr>
                          <w:spacing w:before="150" w:after="150" w:line="360" w:lineRule="auto"/>
                          <w:ind w:firstLine="720"/>
                          <w:rPr>
                            <w:rFonts w:ascii="Helvetica" w:hAnsi="Helvetica" w:cs="Helvetica"/>
                            <w:color w:val="202020"/>
                            <w:sz w:val="28"/>
                            <w:szCs w:val="28"/>
                          </w:rPr>
                        </w:pPr>
                      </w:p>
                      <w:p w14:paraId="58D088A8" w14:textId="77777777" w:rsidR="00D5138F" w:rsidRPr="00D5138F" w:rsidRDefault="00D5138F" w:rsidP="00D5138F">
                        <w:pPr>
                          <w:rPr>
                            <w:rFonts w:ascii="Helvetica" w:hAnsi="Helvetica" w:cs="Helvetica"/>
                            <w:b/>
                            <w:bCs/>
                            <w:sz w:val="24"/>
                            <w:szCs w:val="24"/>
                          </w:rPr>
                        </w:pPr>
                        <w:r w:rsidRPr="00D5138F">
                          <w:rPr>
                            <w:rFonts w:ascii="Helvetica" w:hAnsi="Helvetica" w:cs="Helvetica"/>
                            <w:b/>
                            <w:bCs/>
                            <w:sz w:val="24"/>
                            <w:szCs w:val="24"/>
                          </w:rPr>
                          <w:t>The MHRA released a safety alert on 9</w:t>
                        </w:r>
                        <w:r w:rsidRPr="00D5138F">
                          <w:rPr>
                            <w:rFonts w:ascii="Helvetica" w:hAnsi="Helvetica" w:cs="Helvetica"/>
                            <w:b/>
                            <w:bCs/>
                            <w:sz w:val="24"/>
                            <w:szCs w:val="24"/>
                            <w:vertAlign w:val="superscript"/>
                          </w:rPr>
                          <w:t>th</w:t>
                        </w:r>
                        <w:r w:rsidRPr="00D5138F">
                          <w:rPr>
                            <w:rFonts w:ascii="Helvetica" w:hAnsi="Helvetica" w:cs="Helvetica"/>
                            <w:b/>
                            <w:bCs/>
                            <w:sz w:val="24"/>
                            <w:szCs w:val="24"/>
                          </w:rPr>
                          <w:t xml:space="preserve"> May 2023 to advise patients, </w:t>
                        </w:r>
                        <w:proofErr w:type="gramStart"/>
                        <w:r w:rsidRPr="00D5138F">
                          <w:rPr>
                            <w:rFonts w:ascii="Helvetica" w:hAnsi="Helvetica" w:cs="Helvetica"/>
                            <w:b/>
                            <w:bCs/>
                            <w:sz w:val="24"/>
                            <w:szCs w:val="24"/>
                          </w:rPr>
                          <w:t>carers</w:t>
                        </w:r>
                        <w:proofErr w:type="gramEnd"/>
                        <w:r w:rsidRPr="00D5138F">
                          <w:rPr>
                            <w:rFonts w:ascii="Helvetica" w:hAnsi="Helvetica" w:cs="Helvetica"/>
                            <w:b/>
                            <w:bCs/>
                            <w:sz w:val="24"/>
                            <w:szCs w:val="24"/>
                          </w:rPr>
                          <w:t xml:space="preserve"> and their GPs, that anyone who uses </w:t>
                        </w:r>
                        <w:proofErr w:type="spellStart"/>
                        <w:r w:rsidRPr="00D5138F">
                          <w:rPr>
                            <w:rFonts w:ascii="Helvetica" w:hAnsi="Helvetica" w:cs="Helvetica"/>
                            <w:b/>
                            <w:bCs/>
                            <w:sz w:val="24"/>
                            <w:szCs w:val="24"/>
                          </w:rPr>
                          <w:t>Emerade</w:t>
                        </w:r>
                        <w:proofErr w:type="spellEnd"/>
                        <w:r w:rsidRPr="00D5138F">
                          <w:rPr>
                            <w:rFonts w:ascii="Helvetica" w:hAnsi="Helvetica" w:cs="Helvetica"/>
                            <w:b/>
                            <w:bCs/>
                            <w:sz w:val="24"/>
                            <w:szCs w:val="24"/>
                          </w:rPr>
                          <w:t>® adrenaline pens (300mcg or 500mcg strengths) for anaphylaxis, should return to their GP to be prescribed an alternative product. This is precautionary guidance, as some pens have failed to activate, and therefore may fail if required in an emergency.</w:t>
                        </w:r>
                      </w:p>
                      <w:p w14:paraId="531772EA" w14:textId="77777777" w:rsidR="00D5138F" w:rsidRPr="00D5138F" w:rsidRDefault="00677D69" w:rsidP="00D5138F">
                        <w:pPr>
                          <w:rPr>
                            <w:rFonts w:ascii="Helvetica" w:hAnsi="Helvetica" w:cs="Helvetica"/>
                            <w:sz w:val="24"/>
                            <w:szCs w:val="24"/>
                          </w:rPr>
                        </w:pPr>
                        <w:hyperlink r:id="rId21" w:history="1">
                          <w:r w:rsidR="00D5138F" w:rsidRPr="00D5138F">
                            <w:rPr>
                              <w:rFonts w:ascii="Helvetica" w:hAnsi="Helvetica" w:cs="Helvetica"/>
                              <w:color w:val="0000FF"/>
                              <w:sz w:val="24"/>
                              <w:szCs w:val="24"/>
                              <w:u w:val="single"/>
                            </w:rPr>
                            <w:t>Patients asked to return Emerade 300 and 500 microgram adrenaline pens for replacement - GOV.UK (</w:t>
                          </w:r>
                          <w:r w:rsidR="00D5138F" w:rsidRPr="00D5138F">
                            <w:rPr>
                              <w:rFonts w:ascii="Helvetica" w:hAnsi="Helvetica" w:cs="Helvetica"/>
                              <w:color w:val="0000FF"/>
                              <w:sz w:val="24"/>
                              <w:szCs w:val="24"/>
                              <w:u w:val="single"/>
                            </w:rPr>
                            <w:t>w</w:t>
                          </w:r>
                          <w:r w:rsidR="00D5138F" w:rsidRPr="00D5138F">
                            <w:rPr>
                              <w:rFonts w:ascii="Helvetica" w:hAnsi="Helvetica" w:cs="Helvetica"/>
                              <w:color w:val="0000FF"/>
                              <w:sz w:val="24"/>
                              <w:szCs w:val="24"/>
                              <w:u w:val="single"/>
                            </w:rPr>
                            <w:t>ww.gov.uk)</w:t>
                          </w:r>
                        </w:hyperlink>
                      </w:p>
                      <w:p w14:paraId="45A06BB3" w14:textId="77777777" w:rsidR="00D5138F" w:rsidRPr="00D5138F" w:rsidRDefault="00D5138F" w:rsidP="00D5138F">
                        <w:pPr>
                          <w:rPr>
                            <w:rFonts w:ascii="Helvetica" w:hAnsi="Helvetica" w:cs="Helvetica"/>
                            <w:sz w:val="24"/>
                            <w:szCs w:val="24"/>
                          </w:rPr>
                        </w:pPr>
                        <w:r w:rsidRPr="00D5138F">
                          <w:rPr>
                            <w:rFonts w:ascii="Helvetica" w:hAnsi="Helvetica" w:cs="Helvetica"/>
                            <w:sz w:val="24"/>
                            <w:szCs w:val="24"/>
                          </w:rPr>
                          <w:t>A letter has been developed that can be sent to patients once identified by the GP practice.</w:t>
                        </w:r>
                      </w:p>
                      <w:p w14:paraId="3650930F" w14:textId="77777777" w:rsidR="00D5138F" w:rsidRPr="00D5138F" w:rsidRDefault="00677D69" w:rsidP="00D5138F">
                        <w:pPr>
                          <w:spacing w:before="100" w:beforeAutospacing="1" w:after="100" w:afterAutospacing="1"/>
                          <w:rPr>
                            <w:rFonts w:ascii="Helvetica" w:eastAsia="Times New Roman" w:hAnsi="Helvetica" w:cs="Helvetica"/>
                            <w:color w:val="000000"/>
                            <w:sz w:val="24"/>
                            <w:szCs w:val="24"/>
                          </w:rPr>
                        </w:pPr>
                        <w:hyperlink r:id="rId22" w:history="1">
                          <w:r w:rsidR="00D5138F" w:rsidRPr="00D5138F">
                            <w:rPr>
                              <w:rStyle w:val="Hyperlink"/>
                              <w:rFonts w:ascii="Helvetica" w:eastAsia="Times New Roman" w:hAnsi="Helvetica" w:cs="Helvetica"/>
                              <w:sz w:val="24"/>
                              <w:szCs w:val="24"/>
                            </w:rPr>
                            <w:t>Letter - Advice for</w:t>
                          </w:r>
                          <w:r w:rsidR="00D5138F" w:rsidRPr="00D5138F">
                            <w:rPr>
                              <w:rStyle w:val="Hyperlink"/>
                              <w:rFonts w:ascii="Helvetica" w:eastAsia="Times New Roman" w:hAnsi="Helvetica" w:cs="Helvetica"/>
                              <w:sz w:val="24"/>
                              <w:szCs w:val="24"/>
                            </w:rPr>
                            <w:t xml:space="preserve"> </w:t>
                          </w:r>
                          <w:r w:rsidR="00D5138F" w:rsidRPr="00D5138F">
                            <w:rPr>
                              <w:rStyle w:val="Hyperlink"/>
                              <w:rFonts w:ascii="Helvetica" w:eastAsia="Times New Roman" w:hAnsi="Helvetica" w:cs="Helvetica"/>
                              <w:sz w:val="24"/>
                              <w:szCs w:val="24"/>
                            </w:rPr>
                            <w:t xml:space="preserve">patients who have been prescribed an </w:t>
                          </w:r>
                          <w:proofErr w:type="spellStart"/>
                          <w:r w:rsidR="00D5138F" w:rsidRPr="00D5138F">
                            <w:rPr>
                              <w:rStyle w:val="Hyperlink"/>
                              <w:rFonts w:ascii="Helvetica" w:eastAsia="Times New Roman" w:hAnsi="Helvetica" w:cs="Helvetica"/>
                              <w:sz w:val="24"/>
                              <w:szCs w:val="24"/>
                            </w:rPr>
                            <w:t>Emerade</w:t>
                          </w:r>
                          <w:proofErr w:type="spellEnd"/>
                          <w:r w:rsidR="00D5138F" w:rsidRPr="00D5138F">
                            <w:rPr>
                              <w:rStyle w:val="Hyperlink"/>
                              <w:rFonts w:ascii="Helvetica" w:eastAsia="Times New Roman" w:hAnsi="Helvetica" w:cs="Helvetica"/>
                              <w:sz w:val="24"/>
                              <w:szCs w:val="24"/>
                            </w:rPr>
                            <w:t xml:space="preserve"> auto-injectors.pdf</w:t>
                          </w:r>
                        </w:hyperlink>
                      </w:p>
                      <w:p w14:paraId="4C2688E8" w14:textId="77777777" w:rsidR="00D5138F" w:rsidRPr="00D5138F" w:rsidRDefault="00D5138F" w:rsidP="00D5138F">
                        <w:pPr>
                          <w:spacing w:before="100" w:beforeAutospacing="1" w:after="100" w:afterAutospacing="1"/>
                          <w:rPr>
                            <w:rFonts w:ascii="Helvetica" w:eastAsia="Times New Roman" w:hAnsi="Helvetica" w:cs="Helvetica"/>
                            <w:color w:val="000000"/>
                            <w:sz w:val="24"/>
                            <w:szCs w:val="24"/>
                          </w:rPr>
                        </w:pPr>
                        <w:r w:rsidRPr="00D5138F">
                          <w:rPr>
                            <w:rFonts w:ascii="Helvetica" w:eastAsia="Times New Roman" w:hAnsi="Helvetica" w:cs="Helvetica"/>
                            <w:color w:val="000000"/>
                            <w:sz w:val="24"/>
                            <w:szCs w:val="24"/>
                          </w:rPr>
                          <w:t xml:space="preserve">GP practices will need to identify any patients who have had </w:t>
                        </w:r>
                        <w:proofErr w:type="spellStart"/>
                        <w:r w:rsidRPr="00D5138F">
                          <w:rPr>
                            <w:rFonts w:ascii="Helvetica" w:eastAsia="Times New Roman" w:hAnsi="Helvetica" w:cs="Helvetica"/>
                            <w:color w:val="000000"/>
                            <w:sz w:val="24"/>
                            <w:szCs w:val="24"/>
                          </w:rPr>
                          <w:t>Emerade</w:t>
                        </w:r>
                        <w:proofErr w:type="spellEnd"/>
                        <w:r w:rsidRPr="00D5138F">
                          <w:rPr>
                            <w:rFonts w:ascii="Helvetica" w:eastAsia="Times New Roman" w:hAnsi="Helvetica" w:cs="Helvetica"/>
                            <w:color w:val="000000"/>
                            <w:sz w:val="24"/>
                            <w:szCs w:val="24"/>
                          </w:rPr>
                          <w:t xml:space="preserve">® in the last 30 months (which is the shelf-life of the </w:t>
                        </w:r>
                        <w:proofErr w:type="spellStart"/>
                        <w:r w:rsidRPr="00D5138F">
                          <w:rPr>
                            <w:rFonts w:ascii="Helvetica" w:eastAsia="Times New Roman" w:hAnsi="Helvetica" w:cs="Helvetica"/>
                            <w:color w:val="000000"/>
                            <w:sz w:val="24"/>
                            <w:szCs w:val="24"/>
                          </w:rPr>
                          <w:t>Emerade</w:t>
                        </w:r>
                        <w:proofErr w:type="spellEnd"/>
                        <w:r w:rsidRPr="00D5138F">
                          <w:rPr>
                            <w:rFonts w:ascii="Helvetica" w:eastAsia="Times New Roman" w:hAnsi="Helvetica" w:cs="Helvetica"/>
                            <w:color w:val="000000"/>
                            <w:sz w:val="24"/>
                            <w:szCs w:val="24"/>
                          </w:rPr>
                          <w:t>® pen, although many will have much shorter expiry dates). These patients can be contacted, using the template letter if suitable, and the practice will need to issue a prescription for 2 alternative pens:</w:t>
                        </w:r>
                      </w:p>
                      <w:p w14:paraId="7D5EF9AE" w14:textId="77777777" w:rsidR="00D5138F" w:rsidRPr="00D5138F" w:rsidRDefault="00D5138F" w:rsidP="00D5138F">
                        <w:pPr>
                          <w:pStyle w:val="ListParagraph"/>
                          <w:numPr>
                            <w:ilvl w:val="0"/>
                            <w:numId w:val="7"/>
                          </w:numPr>
                          <w:spacing w:before="100" w:beforeAutospacing="1" w:after="100" w:afterAutospacing="1" w:line="240" w:lineRule="auto"/>
                          <w:rPr>
                            <w:rFonts w:ascii="Helvetica" w:eastAsia="Times New Roman" w:hAnsi="Helvetica" w:cs="Helvetica"/>
                            <w:color w:val="000000"/>
                            <w:sz w:val="24"/>
                            <w:szCs w:val="24"/>
                          </w:rPr>
                        </w:pPr>
                        <w:proofErr w:type="spellStart"/>
                        <w:r w:rsidRPr="00D5138F">
                          <w:rPr>
                            <w:rFonts w:ascii="Helvetica" w:eastAsia="Times New Roman" w:hAnsi="Helvetica" w:cs="Helvetica"/>
                            <w:color w:val="000000"/>
                            <w:sz w:val="24"/>
                            <w:szCs w:val="24"/>
                          </w:rPr>
                          <w:t>Emerade</w:t>
                        </w:r>
                        <w:proofErr w:type="spellEnd"/>
                        <w:r w:rsidRPr="00D5138F">
                          <w:rPr>
                            <w:rFonts w:ascii="Helvetica" w:eastAsia="Times New Roman" w:hAnsi="Helvetica" w:cs="Helvetica"/>
                            <w:color w:val="000000"/>
                            <w:sz w:val="24"/>
                            <w:szCs w:val="24"/>
                          </w:rPr>
                          <w:t xml:space="preserve"> ®300mcg- Issue 2 x </w:t>
                        </w:r>
                        <w:proofErr w:type="spellStart"/>
                        <w:r w:rsidRPr="00D5138F">
                          <w:rPr>
                            <w:rFonts w:ascii="Helvetica" w:eastAsia="Times New Roman" w:hAnsi="Helvetica" w:cs="Helvetica"/>
                            <w:color w:val="000000"/>
                            <w:sz w:val="24"/>
                            <w:szCs w:val="24"/>
                          </w:rPr>
                          <w:t>Jext</w:t>
                        </w:r>
                        <w:proofErr w:type="spellEnd"/>
                        <w:r w:rsidRPr="00D5138F">
                          <w:rPr>
                            <w:rFonts w:ascii="Helvetica" w:eastAsia="Times New Roman" w:hAnsi="Helvetica" w:cs="Helvetica"/>
                            <w:color w:val="000000"/>
                            <w:sz w:val="24"/>
                            <w:szCs w:val="24"/>
                          </w:rPr>
                          <w:t xml:space="preserve">® 300mcg OR 2x </w:t>
                        </w:r>
                        <w:proofErr w:type="spellStart"/>
                        <w:r w:rsidRPr="00D5138F">
                          <w:rPr>
                            <w:rFonts w:ascii="Helvetica" w:eastAsia="Times New Roman" w:hAnsi="Helvetica" w:cs="Helvetica"/>
                            <w:color w:val="000000"/>
                            <w:sz w:val="24"/>
                            <w:szCs w:val="24"/>
                          </w:rPr>
                          <w:t>Epipen</w:t>
                        </w:r>
                        <w:proofErr w:type="spellEnd"/>
                        <w:r w:rsidRPr="00D5138F">
                          <w:rPr>
                            <w:rFonts w:ascii="Helvetica" w:eastAsia="Times New Roman" w:hAnsi="Helvetica" w:cs="Helvetica"/>
                            <w:color w:val="000000"/>
                            <w:sz w:val="24"/>
                            <w:szCs w:val="24"/>
                          </w:rPr>
                          <w:t>® 0.3mg pens</w:t>
                        </w:r>
                      </w:p>
                      <w:p w14:paraId="3F9D7A67" w14:textId="77777777" w:rsidR="00D5138F" w:rsidRPr="00D5138F" w:rsidRDefault="00D5138F" w:rsidP="00D5138F">
                        <w:pPr>
                          <w:pStyle w:val="ListParagraph"/>
                          <w:numPr>
                            <w:ilvl w:val="0"/>
                            <w:numId w:val="7"/>
                          </w:numPr>
                          <w:spacing w:before="100" w:beforeAutospacing="1" w:after="100" w:afterAutospacing="1" w:line="240" w:lineRule="auto"/>
                          <w:rPr>
                            <w:rFonts w:ascii="Helvetica" w:eastAsia="Times New Roman" w:hAnsi="Helvetica" w:cs="Helvetica"/>
                            <w:color w:val="000000"/>
                            <w:sz w:val="24"/>
                            <w:szCs w:val="24"/>
                          </w:rPr>
                        </w:pPr>
                        <w:proofErr w:type="spellStart"/>
                        <w:r w:rsidRPr="00D5138F">
                          <w:rPr>
                            <w:rFonts w:ascii="Helvetica" w:eastAsia="Times New Roman" w:hAnsi="Helvetica" w:cs="Helvetica"/>
                            <w:color w:val="000000"/>
                            <w:sz w:val="24"/>
                            <w:szCs w:val="24"/>
                          </w:rPr>
                          <w:t>Emerade</w:t>
                        </w:r>
                        <w:proofErr w:type="spellEnd"/>
                        <w:r w:rsidRPr="00D5138F">
                          <w:rPr>
                            <w:rFonts w:ascii="Helvetica" w:eastAsia="Times New Roman" w:hAnsi="Helvetica" w:cs="Helvetica"/>
                            <w:color w:val="000000"/>
                            <w:sz w:val="24"/>
                            <w:szCs w:val="24"/>
                          </w:rPr>
                          <w:t xml:space="preserve">® 500mcg- Issue 2x </w:t>
                        </w:r>
                        <w:proofErr w:type="spellStart"/>
                        <w:r w:rsidRPr="00D5138F">
                          <w:rPr>
                            <w:rFonts w:ascii="Helvetica" w:eastAsia="Times New Roman" w:hAnsi="Helvetica" w:cs="Helvetica"/>
                            <w:color w:val="000000"/>
                            <w:sz w:val="24"/>
                            <w:szCs w:val="24"/>
                          </w:rPr>
                          <w:t>Jext</w:t>
                        </w:r>
                        <w:proofErr w:type="spellEnd"/>
                        <w:r w:rsidRPr="00D5138F">
                          <w:rPr>
                            <w:rFonts w:ascii="Helvetica" w:eastAsia="Times New Roman" w:hAnsi="Helvetica" w:cs="Helvetica"/>
                            <w:color w:val="000000"/>
                            <w:sz w:val="24"/>
                            <w:szCs w:val="24"/>
                          </w:rPr>
                          <w:t xml:space="preserve">® 300mcg OR 2x </w:t>
                        </w:r>
                        <w:proofErr w:type="spellStart"/>
                        <w:r w:rsidRPr="00D5138F">
                          <w:rPr>
                            <w:rFonts w:ascii="Helvetica" w:eastAsia="Times New Roman" w:hAnsi="Helvetica" w:cs="Helvetica"/>
                            <w:color w:val="000000"/>
                            <w:sz w:val="24"/>
                            <w:szCs w:val="24"/>
                          </w:rPr>
                          <w:t>Epipen</w:t>
                        </w:r>
                        <w:proofErr w:type="spellEnd"/>
                        <w:r w:rsidRPr="00D5138F">
                          <w:rPr>
                            <w:rFonts w:ascii="Helvetica" w:eastAsia="Times New Roman" w:hAnsi="Helvetica" w:cs="Helvetica"/>
                            <w:color w:val="000000"/>
                            <w:sz w:val="24"/>
                            <w:szCs w:val="24"/>
                          </w:rPr>
                          <w:t>® 0.3mg pens</w:t>
                        </w:r>
                      </w:p>
                      <w:p w14:paraId="176D945E" w14:textId="77777777" w:rsidR="00D5138F" w:rsidRPr="00D5138F" w:rsidRDefault="00D5138F" w:rsidP="00D5138F">
                        <w:pPr>
                          <w:spacing w:before="100" w:beforeAutospacing="1" w:after="100" w:afterAutospacing="1"/>
                          <w:rPr>
                            <w:rFonts w:ascii="Helvetica" w:eastAsia="Times New Roman" w:hAnsi="Helvetica" w:cs="Helvetica"/>
                            <w:color w:val="000000"/>
                            <w:sz w:val="24"/>
                            <w:szCs w:val="24"/>
                          </w:rPr>
                        </w:pPr>
                        <w:r w:rsidRPr="00D5138F">
                          <w:rPr>
                            <w:rFonts w:ascii="Helvetica" w:eastAsia="Times New Roman" w:hAnsi="Helvetica" w:cs="Helvetica"/>
                            <w:color w:val="000000"/>
                            <w:sz w:val="24"/>
                            <w:szCs w:val="24"/>
                          </w:rPr>
                          <w:t xml:space="preserve">Once the patient has collected their new pens from the pharmacy, they may dispose of the </w:t>
                        </w:r>
                        <w:proofErr w:type="spellStart"/>
                        <w:r w:rsidRPr="00D5138F">
                          <w:rPr>
                            <w:rFonts w:ascii="Helvetica" w:eastAsia="Times New Roman" w:hAnsi="Helvetica" w:cs="Helvetica"/>
                            <w:color w:val="000000"/>
                            <w:sz w:val="24"/>
                            <w:szCs w:val="24"/>
                          </w:rPr>
                          <w:t>Emerade</w:t>
                        </w:r>
                        <w:proofErr w:type="spellEnd"/>
                        <w:r w:rsidRPr="00D5138F">
                          <w:rPr>
                            <w:rFonts w:ascii="Helvetica" w:eastAsia="Times New Roman" w:hAnsi="Helvetica" w:cs="Helvetica"/>
                            <w:color w:val="000000"/>
                            <w:sz w:val="24"/>
                            <w:szCs w:val="24"/>
                          </w:rPr>
                          <w:t xml:space="preserve">® devices. Please ensure all patients have sufficient training on how to use their new devices, face to </w:t>
                        </w:r>
                        <w:proofErr w:type="gramStart"/>
                        <w:r w:rsidRPr="00D5138F">
                          <w:rPr>
                            <w:rFonts w:ascii="Helvetica" w:eastAsia="Times New Roman" w:hAnsi="Helvetica" w:cs="Helvetica"/>
                            <w:color w:val="000000"/>
                            <w:sz w:val="24"/>
                            <w:szCs w:val="24"/>
                          </w:rPr>
                          <w:t>face</w:t>
                        </w:r>
                        <w:proofErr w:type="gramEnd"/>
                        <w:r w:rsidRPr="00D5138F">
                          <w:rPr>
                            <w:rFonts w:ascii="Helvetica" w:eastAsia="Times New Roman" w:hAnsi="Helvetica" w:cs="Helvetica"/>
                            <w:color w:val="000000"/>
                            <w:sz w:val="24"/>
                            <w:szCs w:val="24"/>
                          </w:rPr>
                          <w:t xml:space="preserve"> if possible, but as a minimum providing the following patient information leaflets.</w:t>
                        </w:r>
                      </w:p>
                      <w:p w14:paraId="61E1908B" w14:textId="77777777" w:rsidR="00D5138F" w:rsidRPr="00D5138F" w:rsidRDefault="00677D69" w:rsidP="00D5138F">
                        <w:pPr>
                          <w:spacing w:before="100" w:beforeAutospacing="1" w:after="100" w:afterAutospacing="1"/>
                          <w:rPr>
                            <w:rFonts w:ascii="Helvetica" w:hAnsi="Helvetica" w:cs="Helvetica"/>
                            <w:sz w:val="24"/>
                            <w:szCs w:val="24"/>
                          </w:rPr>
                        </w:pPr>
                        <w:hyperlink r:id="rId23" w:history="1">
                          <w:r w:rsidR="00D5138F" w:rsidRPr="00D5138F">
                            <w:rPr>
                              <w:rFonts w:ascii="Helvetica" w:hAnsi="Helvetica" w:cs="Helvetica"/>
                              <w:color w:val="0000FF"/>
                              <w:sz w:val="24"/>
                              <w:szCs w:val="24"/>
                              <w:u w:val="single"/>
                            </w:rPr>
                            <w:t>JEXT (medicin</w:t>
                          </w:r>
                          <w:r w:rsidR="00D5138F" w:rsidRPr="00D5138F">
                            <w:rPr>
                              <w:rFonts w:ascii="Helvetica" w:hAnsi="Helvetica" w:cs="Helvetica"/>
                              <w:color w:val="0000FF"/>
                              <w:sz w:val="24"/>
                              <w:szCs w:val="24"/>
                              <w:u w:val="single"/>
                            </w:rPr>
                            <w:t>e</w:t>
                          </w:r>
                          <w:r w:rsidR="00D5138F" w:rsidRPr="00D5138F">
                            <w:rPr>
                              <w:rFonts w:ascii="Helvetica" w:hAnsi="Helvetica" w:cs="Helvetica"/>
                              <w:color w:val="0000FF"/>
                              <w:sz w:val="24"/>
                              <w:szCs w:val="24"/>
                              <w:u w:val="single"/>
                            </w:rPr>
                            <w:t>s.org.uk)</w:t>
                          </w:r>
                        </w:hyperlink>
                        <w:r w:rsidR="00D5138F" w:rsidRPr="00D5138F">
                          <w:rPr>
                            <w:rFonts w:ascii="Helvetica" w:hAnsi="Helvetica" w:cs="Helvetica"/>
                            <w:sz w:val="24"/>
                            <w:szCs w:val="24"/>
                          </w:rPr>
                          <w:t xml:space="preserve"> and </w:t>
                        </w:r>
                        <w:hyperlink r:id="rId24" w:history="1">
                          <w:r w:rsidR="00D5138F" w:rsidRPr="00D5138F">
                            <w:rPr>
                              <w:rFonts w:ascii="Helvetica" w:hAnsi="Helvetica" w:cs="Helvetica"/>
                              <w:color w:val="0000FF"/>
                              <w:sz w:val="24"/>
                              <w:szCs w:val="24"/>
                              <w:u w:val="single"/>
                            </w:rPr>
                            <w:t>pil.42</w:t>
                          </w:r>
                          <w:r w:rsidR="00D5138F" w:rsidRPr="00D5138F">
                            <w:rPr>
                              <w:rFonts w:ascii="Helvetica" w:hAnsi="Helvetica" w:cs="Helvetica"/>
                              <w:color w:val="0000FF"/>
                              <w:sz w:val="24"/>
                              <w:szCs w:val="24"/>
                              <w:u w:val="single"/>
                            </w:rPr>
                            <w:t>8</w:t>
                          </w:r>
                          <w:r w:rsidR="00D5138F" w:rsidRPr="00D5138F">
                            <w:rPr>
                              <w:rFonts w:ascii="Helvetica" w:hAnsi="Helvetica" w:cs="Helvetica"/>
                              <w:color w:val="0000FF"/>
                              <w:sz w:val="24"/>
                              <w:szCs w:val="24"/>
                              <w:u w:val="single"/>
                            </w:rPr>
                            <w:t>9.pdf (medicines.org.uk)</w:t>
                          </w:r>
                        </w:hyperlink>
                        <w:r w:rsidR="00D5138F" w:rsidRPr="00D5138F">
                          <w:rPr>
                            <w:rFonts w:ascii="Helvetica" w:hAnsi="Helvetica" w:cs="Helvetica"/>
                            <w:sz w:val="24"/>
                            <w:szCs w:val="24"/>
                          </w:rPr>
                          <w:t xml:space="preserve"> (</w:t>
                        </w:r>
                        <w:proofErr w:type="spellStart"/>
                        <w:r w:rsidR="00D5138F" w:rsidRPr="00D5138F">
                          <w:rPr>
                            <w:rFonts w:ascii="Helvetica" w:hAnsi="Helvetica" w:cs="Helvetica"/>
                            <w:sz w:val="24"/>
                            <w:szCs w:val="24"/>
                          </w:rPr>
                          <w:t>Epipen</w:t>
                        </w:r>
                        <w:proofErr w:type="spellEnd"/>
                        <w:r w:rsidR="00D5138F" w:rsidRPr="00D5138F">
                          <w:rPr>
                            <w:rFonts w:ascii="Helvetica" w:hAnsi="Helvetica" w:cs="Helvetica"/>
                            <w:sz w:val="24"/>
                            <w:szCs w:val="24"/>
                          </w:rPr>
                          <w:t>)</w:t>
                        </w:r>
                      </w:p>
                      <w:p w14:paraId="7ACC1323" w14:textId="7AD454E8" w:rsidR="00840649" w:rsidRPr="00840649" w:rsidRDefault="00840649" w:rsidP="00F728F3">
                        <w:pPr>
                          <w:spacing w:before="100" w:beforeAutospacing="1" w:after="100" w:afterAutospacing="1"/>
                          <w:rPr>
                            <w:rFonts w:ascii="Helvetica" w:hAnsi="Helvetica" w:cs="Helvetica"/>
                            <w:sz w:val="24"/>
                            <w:szCs w:val="24"/>
                          </w:rPr>
                        </w:pPr>
                      </w:p>
                      <w:p w14:paraId="42FD8590" w14:textId="77777777" w:rsidR="00D76676" w:rsidRDefault="00D76676" w:rsidP="00D76676">
                        <w:pPr>
                          <w:spacing w:before="150" w:after="150" w:line="360" w:lineRule="auto"/>
                          <w:rPr>
                            <w:rFonts w:ascii="Helvetica" w:eastAsia="Times New Roman" w:hAnsi="Helvetica" w:cs="Helvetica"/>
                            <w:b/>
                            <w:bCs/>
                            <w:color w:val="00A499"/>
                            <w:sz w:val="33"/>
                            <w:szCs w:val="33"/>
                          </w:rPr>
                        </w:pPr>
                        <w:bookmarkStart w:id="6" w:name="Aquacel"/>
                        <w:r w:rsidRPr="006C00E9">
                          <w:rPr>
                            <w:rFonts w:ascii="Helvetica" w:eastAsia="Times New Roman" w:hAnsi="Helvetica" w:cs="Helvetica"/>
                            <w:b/>
                            <w:bCs/>
                            <w:color w:val="00A499"/>
                            <w:sz w:val="33"/>
                            <w:szCs w:val="33"/>
                          </w:rPr>
                          <w:t xml:space="preserve">AQUACEL Ag+ Upgrade </w:t>
                        </w:r>
                      </w:p>
                      <w:bookmarkEnd w:id="6"/>
                      <w:p w14:paraId="12F9CD9E" w14:textId="77777777" w:rsidR="00D76676" w:rsidRPr="00667D8F" w:rsidRDefault="00D76676" w:rsidP="00D76676">
                        <w:pPr>
                          <w:spacing w:before="150" w:after="150" w:line="360" w:lineRule="auto"/>
                          <w:rPr>
                            <w:rFonts w:ascii="Helvetica" w:eastAsia="Times New Roman" w:hAnsi="Helvetica" w:cs="Helvetica"/>
                            <w:b/>
                            <w:bCs/>
                            <w:color w:val="202020"/>
                            <w:sz w:val="24"/>
                            <w:szCs w:val="24"/>
                          </w:rPr>
                        </w:pPr>
                        <w:proofErr w:type="spellStart"/>
                        <w:r w:rsidRPr="00667D8F">
                          <w:rPr>
                            <w:rFonts w:ascii="Helvetica" w:eastAsia="Times New Roman" w:hAnsi="Helvetica" w:cs="Helvetica"/>
                            <w:b/>
                            <w:bCs/>
                            <w:color w:val="202020"/>
                            <w:sz w:val="24"/>
                            <w:szCs w:val="24"/>
                          </w:rPr>
                          <w:t>Aquacel</w:t>
                        </w:r>
                        <w:proofErr w:type="spellEnd"/>
                        <w:r w:rsidRPr="00667D8F">
                          <w:rPr>
                            <w:rFonts w:ascii="Helvetica" w:eastAsia="Times New Roman" w:hAnsi="Helvetica" w:cs="Helvetica"/>
                            <w:b/>
                            <w:bCs/>
                            <w:color w:val="202020"/>
                            <w:sz w:val="24"/>
                            <w:szCs w:val="24"/>
                          </w:rPr>
                          <w:t xml:space="preserve">® Ag has been replaced by </w:t>
                        </w:r>
                        <w:proofErr w:type="spellStart"/>
                        <w:r w:rsidRPr="00667D8F">
                          <w:rPr>
                            <w:rFonts w:ascii="Helvetica" w:eastAsia="Times New Roman" w:hAnsi="Helvetica" w:cs="Helvetica"/>
                            <w:b/>
                            <w:bCs/>
                            <w:color w:val="202020"/>
                            <w:sz w:val="24"/>
                            <w:szCs w:val="24"/>
                          </w:rPr>
                          <w:t>Aquacel</w:t>
                        </w:r>
                        <w:proofErr w:type="spellEnd"/>
                        <w:r w:rsidRPr="00667D8F">
                          <w:rPr>
                            <w:rFonts w:ascii="Helvetica" w:eastAsia="Times New Roman" w:hAnsi="Helvetica" w:cs="Helvetica"/>
                            <w:b/>
                            <w:bCs/>
                            <w:color w:val="202020"/>
                            <w:sz w:val="24"/>
                            <w:szCs w:val="24"/>
                          </w:rPr>
                          <w:t xml:space="preserve">® Ag+ </w:t>
                        </w:r>
                        <w:proofErr w:type="gramStart"/>
                        <w:r w:rsidRPr="00667D8F">
                          <w:rPr>
                            <w:rFonts w:ascii="Helvetica" w:eastAsia="Times New Roman" w:hAnsi="Helvetica" w:cs="Helvetica"/>
                            <w:b/>
                            <w:bCs/>
                            <w:color w:val="202020"/>
                            <w:sz w:val="24"/>
                            <w:szCs w:val="24"/>
                          </w:rPr>
                          <w:t>Dressings</w:t>
                        </w:r>
                        <w:proofErr w:type="gramEnd"/>
                        <w:r w:rsidRPr="00667D8F">
                          <w:rPr>
                            <w:rFonts w:ascii="Helvetica" w:eastAsia="Times New Roman" w:hAnsi="Helvetica" w:cs="Helvetica"/>
                            <w:b/>
                            <w:bCs/>
                            <w:color w:val="202020"/>
                            <w:sz w:val="24"/>
                            <w:szCs w:val="24"/>
                          </w:rPr>
                          <w:t xml:space="preserve"> </w:t>
                        </w:r>
                      </w:p>
                      <w:p w14:paraId="1451D3E2" w14:textId="77777777" w:rsidR="00D76676" w:rsidRPr="006C00E9" w:rsidRDefault="00D76676" w:rsidP="00D76676">
                        <w:pPr>
                          <w:spacing w:before="150" w:after="150" w:line="360" w:lineRule="auto"/>
                          <w:rPr>
                            <w:rFonts w:ascii="Helvetica" w:eastAsia="Times New Roman" w:hAnsi="Helvetica" w:cs="Helvetica"/>
                            <w:color w:val="202020"/>
                            <w:sz w:val="24"/>
                            <w:szCs w:val="24"/>
                          </w:rPr>
                        </w:pPr>
                        <w:r w:rsidRPr="006C00E9">
                          <w:rPr>
                            <w:rFonts w:ascii="Helvetica" w:eastAsia="Times New Roman" w:hAnsi="Helvetica" w:cs="Helvetica"/>
                            <w:color w:val="202020"/>
                            <w:sz w:val="24"/>
                            <w:szCs w:val="24"/>
                          </w:rPr>
                          <w:t xml:space="preserve">Older versions of </w:t>
                        </w:r>
                        <w:proofErr w:type="spellStart"/>
                        <w:r w:rsidRPr="006C00E9">
                          <w:rPr>
                            <w:rFonts w:ascii="Helvetica" w:eastAsia="Times New Roman" w:hAnsi="Helvetica" w:cs="Helvetica"/>
                            <w:color w:val="202020"/>
                            <w:sz w:val="24"/>
                            <w:szCs w:val="24"/>
                          </w:rPr>
                          <w:t>Aquacel</w:t>
                        </w:r>
                        <w:proofErr w:type="spellEnd"/>
                        <w:r w:rsidRPr="006C00E9">
                          <w:rPr>
                            <w:rFonts w:ascii="Helvetica" w:eastAsia="Times New Roman" w:hAnsi="Helvetica" w:cs="Helvetica"/>
                            <w:color w:val="202020"/>
                            <w:sz w:val="24"/>
                            <w:szCs w:val="24"/>
                          </w:rPr>
                          <w:t>® Ag ha</w:t>
                        </w:r>
                        <w:r>
                          <w:rPr>
                            <w:rFonts w:ascii="Helvetica" w:eastAsia="Times New Roman" w:hAnsi="Helvetica" w:cs="Helvetica"/>
                            <w:color w:val="202020"/>
                            <w:sz w:val="24"/>
                            <w:szCs w:val="24"/>
                          </w:rPr>
                          <w:t>ve</w:t>
                        </w:r>
                        <w:r w:rsidRPr="006C00E9">
                          <w:rPr>
                            <w:rFonts w:ascii="Helvetica" w:eastAsia="Times New Roman" w:hAnsi="Helvetica" w:cs="Helvetica"/>
                            <w:color w:val="202020"/>
                            <w:sz w:val="24"/>
                            <w:szCs w:val="24"/>
                          </w:rPr>
                          <w:t xml:space="preserve"> been discontinued. Please order </w:t>
                        </w:r>
                        <w:proofErr w:type="spellStart"/>
                        <w:r w:rsidRPr="00667D8F">
                          <w:rPr>
                            <w:rFonts w:ascii="Helvetica" w:eastAsia="Times New Roman" w:hAnsi="Helvetica" w:cs="Helvetica"/>
                            <w:b/>
                            <w:bCs/>
                            <w:color w:val="202020"/>
                            <w:sz w:val="24"/>
                            <w:szCs w:val="24"/>
                          </w:rPr>
                          <w:t>Aquacel</w:t>
                        </w:r>
                        <w:proofErr w:type="spellEnd"/>
                        <w:r w:rsidRPr="00667D8F">
                          <w:rPr>
                            <w:rFonts w:ascii="Helvetica" w:eastAsia="Times New Roman" w:hAnsi="Helvetica" w:cs="Helvetica"/>
                            <w:b/>
                            <w:bCs/>
                            <w:color w:val="202020"/>
                            <w:sz w:val="24"/>
                            <w:szCs w:val="24"/>
                          </w:rPr>
                          <w:t>® Ag+ extra</w:t>
                        </w:r>
                        <w:r w:rsidRPr="006C00E9">
                          <w:rPr>
                            <w:rFonts w:ascii="Helvetica" w:eastAsia="Times New Roman" w:hAnsi="Helvetica" w:cs="Helvetica"/>
                            <w:color w:val="202020"/>
                            <w:sz w:val="24"/>
                            <w:szCs w:val="24"/>
                          </w:rPr>
                          <w:t xml:space="preserve"> as the replacement.</w:t>
                        </w:r>
                      </w:p>
                      <w:p w14:paraId="223A4265" w14:textId="77777777" w:rsidR="00D76676" w:rsidRPr="006C00E9" w:rsidRDefault="00D76676" w:rsidP="00D76676">
                        <w:pPr>
                          <w:spacing w:before="150" w:after="150" w:line="360" w:lineRule="auto"/>
                          <w:rPr>
                            <w:rFonts w:ascii="Helvetica" w:eastAsia="Times New Roman" w:hAnsi="Helvetica" w:cs="Helvetica"/>
                            <w:color w:val="202020"/>
                            <w:sz w:val="24"/>
                            <w:szCs w:val="24"/>
                          </w:rPr>
                        </w:pPr>
                        <w:r w:rsidRPr="006C00E9">
                          <w:rPr>
                            <w:rFonts w:ascii="Helvetica" w:eastAsia="Times New Roman" w:hAnsi="Helvetica" w:cs="Helvetica"/>
                            <w:color w:val="202020"/>
                            <w:sz w:val="24"/>
                            <w:szCs w:val="24"/>
                          </w:rPr>
                          <w:t xml:space="preserve">We are aware that the name change has caused confusion within some practices as not all EMIS systems have been updated to reflect the name change which has led to some potential prescribing of unpreferred and sometimes more expensive products. Please order </w:t>
                        </w:r>
                        <w:proofErr w:type="spellStart"/>
                        <w:r w:rsidRPr="006C00E9">
                          <w:rPr>
                            <w:rFonts w:ascii="Helvetica" w:eastAsia="Times New Roman" w:hAnsi="Helvetica" w:cs="Helvetica"/>
                            <w:color w:val="202020"/>
                            <w:sz w:val="24"/>
                            <w:szCs w:val="24"/>
                          </w:rPr>
                          <w:t>Aquacel</w:t>
                        </w:r>
                        <w:proofErr w:type="spellEnd"/>
                        <w:r w:rsidRPr="006C00E9">
                          <w:rPr>
                            <w:rFonts w:ascii="Helvetica" w:eastAsia="Times New Roman" w:hAnsi="Helvetica" w:cs="Helvetica"/>
                            <w:color w:val="202020"/>
                            <w:sz w:val="24"/>
                            <w:szCs w:val="24"/>
                          </w:rPr>
                          <w:t xml:space="preserve"> Ag+ extra as the replacement.</w:t>
                        </w:r>
                      </w:p>
                      <w:p w14:paraId="3011E67F" w14:textId="77777777" w:rsidR="00D76676" w:rsidRDefault="00D76676" w:rsidP="00D76676">
                        <w:pPr>
                          <w:spacing w:before="150" w:after="150" w:line="360" w:lineRule="auto"/>
                          <w:rPr>
                            <w:rFonts w:ascii="Helvetica" w:eastAsia="Times New Roman" w:hAnsi="Helvetica" w:cs="Helvetica"/>
                            <w:color w:val="202020"/>
                            <w:sz w:val="24"/>
                            <w:szCs w:val="24"/>
                          </w:rPr>
                        </w:pPr>
                        <w:r w:rsidRPr="00667D8F">
                          <w:rPr>
                            <w:rFonts w:ascii="Helvetica" w:eastAsia="Times New Roman" w:hAnsi="Helvetica" w:cs="Helvetica"/>
                            <w:b/>
                            <w:bCs/>
                            <w:color w:val="202020"/>
                            <w:sz w:val="24"/>
                            <w:szCs w:val="24"/>
                          </w:rPr>
                          <w:t xml:space="preserve">For more </w:t>
                        </w:r>
                        <w:proofErr w:type="gramStart"/>
                        <w:r w:rsidRPr="00667D8F">
                          <w:rPr>
                            <w:rFonts w:ascii="Helvetica" w:eastAsia="Times New Roman" w:hAnsi="Helvetica" w:cs="Helvetica"/>
                            <w:b/>
                            <w:bCs/>
                            <w:color w:val="202020"/>
                            <w:sz w:val="24"/>
                            <w:szCs w:val="24"/>
                          </w:rPr>
                          <w:t>information</w:t>
                        </w:r>
                        <w:proofErr w:type="gramEnd"/>
                        <w:r w:rsidRPr="00667D8F">
                          <w:rPr>
                            <w:rFonts w:ascii="Helvetica" w:eastAsia="Times New Roman" w:hAnsi="Helvetica" w:cs="Helvetica"/>
                            <w:b/>
                            <w:bCs/>
                            <w:color w:val="202020"/>
                            <w:sz w:val="24"/>
                            <w:szCs w:val="24"/>
                          </w:rPr>
                          <w:t xml:space="preserve"> please refer to</w:t>
                        </w:r>
                        <w:r w:rsidRPr="006C00E9">
                          <w:rPr>
                            <w:rFonts w:ascii="Helvetica" w:eastAsia="Times New Roman" w:hAnsi="Helvetica" w:cs="Helvetica"/>
                            <w:color w:val="202020"/>
                            <w:sz w:val="24"/>
                            <w:szCs w:val="24"/>
                          </w:rPr>
                          <w:t xml:space="preserve"> wound.webcare@convatec.com or 0800 289 738</w:t>
                        </w:r>
                      </w:p>
                      <w:p w14:paraId="2D563B07" w14:textId="77777777" w:rsidR="00F62959" w:rsidRDefault="00F62959" w:rsidP="00F62959"/>
                      <w:p w14:paraId="60234F03" w14:textId="77777777" w:rsidR="00F62959" w:rsidRDefault="00F62959" w:rsidP="00F62959">
                        <w:pPr>
                          <w:pStyle w:val="NormalWeb"/>
                          <w:shd w:val="clear" w:color="auto" w:fill="FFFFFF"/>
                          <w:spacing w:before="0" w:beforeAutospacing="0" w:after="0" w:afterAutospacing="0"/>
                          <w:textAlignment w:val="baseline"/>
                          <w:rPr>
                            <w:color w:val="242424"/>
                          </w:rPr>
                        </w:pPr>
                        <w:r>
                          <w:rPr>
                            <w:rFonts w:ascii="Arial" w:hAnsi="Arial" w:cs="Arial"/>
                            <w:color w:val="000000"/>
                            <w:sz w:val="22"/>
                            <w:szCs w:val="22"/>
                            <w:bdr w:val="none" w:sz="0" w:space="0" w:color="auto" w:frame="1"/>
                          </w:rPr>
                          <w:t> </w:t>
                        </w:r>
                      </w:p>
                      <w:p w14:paraId="13AC3FB7" w14:textId="5ACCFB32" w:rsidR="00BB3EF1" w:rsidRPr="001C74D0" w:rsidRDefault="00BB3EF1" w:rsidP="00BB3EF1">
                        <w:pPr>
                          <w:pBdr>
                            <w:bottom w:val="single" w:sz="12" w:space="1" w:color="auto"/>
                          </w:pBdr>
                          <w:spacing w:before="150" w:after="150" w:line="360" w:lineRule="auto"/>
                          <w:rPr>
                            <w:rFonts w:ascii="Helvetica" w:hAnsi="Helvetica" w:cs="Helvetica"/>
                            <w:color w:val="202020"/>
                            <w:sz w:val="24"/>
                            <w:szCs w:val="24"/>
                          </w:rPr>
                        </w:pPr>
                      </w:p>
                      <w:p w14:paraId="79BA4A85" w14:textId="77777777" w:rsidR="00F62959" w:rsidRDefault="00F62959" w:rsidP="00BB3EF1">
                        <w:pPr>
                          <w:spacing w:before="150" w:after="150" w:line="360" w:lineRule="auto"/>
                          <w:rPr>
                            <w:rFonts w:ascii="Helvetica" w:eastAsia="Times New Roman" w:hAnsi="Helvetica" w:cs="Helvetica"/>
                            <w:b/>
                            <w:bCs/>
                            <w:color w:val="00A499"/>
                            <w:sz w:val="33"/>
                            <w:szCs w:val="33"/>
                          </w:rPr>
                        </w:pPr>
                        <w:bookmarkStart w:id="7" w:name="shortages"/>
                      </w:p>
                      <w:p w14:paraId="0FD6C15B" w14:textId="0DB52788" w:rsidR="00BB3EF1" w:rsidRPr="00BB3EF1" w:rsidRDefault="00BB3EF1" w:rsidP="00BB3EF1">
                        <w:pPr>
                          <w:spacing w:before="150" w:after="150" w:line="360" w:lineRule="auto"/>
                          <w:rPr>
                            <w:rFonts w:ascii="Helvetica" w:eastAsia="Times New Roman" w:hAnsi="Helvetica" w:cs="Helvetica"/>
                            <w:b/>
                            <w:bCs/>
                            <w:color w:val="00A499"/>
                            <w:sz w:val="33"/>
                            <w:szCs w:val="33"/>
                          </w:rPr>
                        </w:pPr>
                        <w:r>
                          <w:rPr>
                            <w:rFonts w:ascii="Helvetica" w:eastAsia="Times New Roman" w:hAnsi="Helvetica" w:cs="Helvetica"/>
                            <w:b/>
                            <w:bCs/>
                            <w:color w:val="00A499"/>
                            <w:sz w:val="33"/>
                            <w:szCs w:val="33"/>
                          </w:rPr>
                          <w:t xml:space="preserve">Shortages Summary May 2023  </w:t>
                        </w:r>
                      </w:p>
                      <w:bookmarkEnd w:id="7"/>
                      <w:p w14:paraId="4AE41D89" w14:textId="06D677EA" w:rsidR="00BB3EF1" w:rsidRDefault="00BB3EF1" w:rsidP="00BB3EF1">
                        <w:pPr>
                          <w:spacing w:before="150" w:after="150" w:line="360" w:lineRule="auto"/>
                          <w:rPr>
                            <w:rFonts w:ascii="Helvetica" w:hAnsi="Helvetica" w:cs="Helvetica"/>
                            <w:color w:val="202020"/>
                            <w:sz w:val="24"/>
                            <w:szCs w:val="24"/>
                          </w:rPr>
                        </w:pPr>
                        <w:r w:rsidRPr="00BB3EF1">
                          <w:rPr>
                            <w:rFonts w:ascii="Helvetica" w:hAnsi="Helvetica" w:cs="Helvetica"/>
                            <w:color w:val="202020"/>
                            <w:sz w:val="24"/>
                            <w:szCs w:val="24"/>
                          </w:rPr>
                          <w:t xml:space="preserve">Please find the medicines shortages update (up until </w:t>
                        </w:r>
                        <w:r w:rsidR="00942CC3">
                          <w:rPr>
                            <w:rFonts w:ascii="Helvetica" w:hAnsi="Helvetica" w:cs="Helvetica"/>
                            <w:color w:val="202020"/>
                            <w:sz w:val="24"/>
                            <w:szCs w:val="24"/>
                          </w:rPr>
                          <w:t>11</w:t>
                        </w:r>
                        <w:r w:rsidR="00942CC3" w:rsidRPr="00942CC3">
                          <w:rPr>
                            <w:rFonts w:ascii="Helvetica" w:hAnsi="Helvetica" w:cs="Helvetica"/>
                            <w:color w:val="202020"/>
                            <w:sz w:val="24"/>
                            <w:szCs w:val="24"/>
                            <w:vertAlign w:val="superscript"/>
                          </w:rPr>
                          <w:t>th</w:t>
                        </w:r>
                        <w:r w:rsidR="00942CC3">
                          <w:rPr>
                            <w:rFonts w:ascii="Helvetica" w:hAnsi="Helvetica" w:cs="Helvetica"/>
                            <w:color w:val="202020"/>
                            <w:sz w:val="24"/>
                            <w:szCs w:val="24"/>
                          </w:rPr>
                          <w:t xml:space="preserve"> April</w:t>
                        </w:r>
                        <w:r w:rsidRPr="00BB3EF1">
                          <w:rPr>
                            <w:rFonts w:ascii="Helvetica" w:hAnsi="Helvetica" w:cs="Helvetica"/>
                            <w:color w:val="202020"/>
                            <w:sz w:val="24"/>
                            <w:szCs w:val="24"/>
                          </w:rPr>
                          <w:t xml:space="preserve"> 2023) attached. Practices are encouraged to register for access to the SPS website https://www.sps.nhs.uk/ and access the full medicines supply tool directly in real time.</w:t>
                        </w:r>
                        <w:bookmarkStart w:id="8" w:name="_MON_1745313525"/>
                        <w:bookmarkEnd w:id="8"/>
                        <w:r w:rsidR="00E7267A">
                          <w:rPr>
                            <w:rFonts w:ascii="Helvetica" w:hAnsi="Helvetica" w:cs="Helvetica"/>
                            <w:color w:val="202020"/>
                            <w:sz w:val="24"/>
                            <w:szCs w:val="24"/>
                          </w:rPr>
                          <w:object w:dxaOrig="1501" w:dyaOrig="980" w14:anchorId="3D0683CC">
                            <v:shape id="_x0000_i1031" type="#_x0000_t75" style="width:75pt;height:49.2pt" o:ole="">
                              <v:imagedata r:id="rId25" o:title=""/>
                            </v:shape>
                            <o:OLEObject Type="Embed" ProgID="Word.Document.12" ShapeID="_x0000_i1031" DrawAspect="Icon" ObjectID="_1746258903" r:id="rId26">
                              <o:FieldCodes>\s</o:FieldCodes>
                            </o:OLEObject>
                          </w:object>
                        </w:r>
                      </w:p>
                      <w:p w14:paraId="52FD8182" w14:textId="23FD63A3" w:rsidR="00942CC3" w:rsidRDefault="00942CC3" w:rsidP="00BB3EF1">
                        <w:pPr>
                          <w:spacing w:before="150" w:after="150" w:line="360" w:lineRule="auto"/>
                          <w:rPr>
                            <w:rFonts w:ascii="Helvetica" w:eastAsia="Times New Roman" w:hAnsi="Helvetica" w:cs="Helvetica"/>
                            <w:color w:val="202020"/>
                            <w:sz w:val="24"/>
                            <w:szCs w:val="24"/>
                          </w:rPr>
                        </w:pPr>
                      </w:p>
                    </w:tc>
                  </w:tr>
                  <w:tr w:rsidR="00E24241" w14:paraId="5E142274" w14:textId="77777777">
                    <w:tc>
                      <w:tcPr>
                        <w:tcW w:w="0" w:type="auto"/>
                        <w:tcMar>
                          <w:top w:w="0" w:type="dxa"/>
                          <w:left w:w="270" w:type="dxa"/>
                          <w:bottom w:w="135" w:type="dxa"/>
                          <w:right w:w="270" w:type="dxa"/>
                        </w:tcMar>
                      </w:tcPr>
                      <w:p w14:paraId="79FF9C17" w14:textId="77777777" w:rsidR="00E24241" w:rsidRPr="00202F93" w:rsidRDefault="00E24241" w:rsidP="00514586">
                        <w:pPr>
                          <w:spacing w:before="150" w:after="150" w:line="360" w:lineRule="auto"/>
                          <w:rPr>
                            <w:rFonts w:ascii="Helvetica" w:eastAsia="Times New Roman" w:hAnsi="Helvetica" w:cs="Helvetica"/>
                            <w:b/>
                            <w:bCs/>
                            <w:color w:val="00A499"/>
                            <w:sz w:val="33"/>
                            <w:szCs w:val="33"/>
                          </w:rPr>
                        </w:pPr>
                      </w:p>
                    </w:tc>
                  </w:tr>
                </w:tbl>
                <w:p w14:paraId="531B1A32" w14:textId="77777777" w:rsidR="00C349F2" w:rsidRDefault="00C349F2">
                  <w:pPr>
                    <w:rPr>
                      <w:rFonts w:ascii="Times New Roman" w:eastAsia="Times New Roman" w:hAnsi="Times New Roman" w:cs="Times New Roman"/>
                      <w:sz w:val="20"/>
                      <w:szCs w:val="20"/>
                    </w:rPr>
                  </w:pPr>
                </w:p>
              </w:tc>
            </w:tr>
          </w:tbl>
          <w:p w14:paraId="1E50C1AB" w14:textId="77777777" w:rsidR="00C349F2" w:rsidRDefault="00C349F2">
            <w:pPr>
              <w:rPr>
                <w:rFonts w:ascii="Times New Roman" w:eastAsia="Times New Roman" w:hAnsi="Times New Roman" w:cs="Times New Roman"/>
                <w:sz w:val="20"/>
                <w:szCs w:val="20"/>
              </w:rPr>
            </w:pPr>
          </w:p>
        </w:tc>
      </w:tr>
    </w:tbl>
    <w:p w14:paraId="160CE09B" w14:textId="77777777" w:rsidR="007C6249" w:rsidRDefault="007C6249" w:rsidP="00C90FE9"/>
    <w:sectPr w:rsidR="007C624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2D30" w14:textId="77777777" w:rsidR="0049775A" w:rsidRDefault="0049775A" w:rsidP="00BB6A3C">
      <w:r>
        <w:separator/>
      </w:r>
    </w:p>
  </w:endnote>
  <w:endnote w:type="continuationSeparator" w:id="0">
    <w:p w14:paraId="094E9AAF" w14:textId="77777777" w:rsidR="0049775A" w:rsidRDefault="0049775A"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2CB" w14:textId="7BE46A41" w:rsidR="00514586" w:rsidRPr="00BB3EF1" w:rsidRDefault="00BB3EF1" w:rsidP="00BB3EF1">
    <w:pPr>
      <w:pStyle w:val="Footer"/>
      <w:jc w:val="center"/>
      <w:rPr>
        <w:i/>
        <w:iCs/>
        <w:sz w:val="20"/>
        <w:szCs w:val="20"/>
      </w:rPr>
    </w:pPr>
    <w:r w:rsidRPr="00BB3EF1">
      <w:rPr>
        <w:rFonts w:ascii="Helvetica" w:hAnsi="Helvetica" w:cs="Helvetica"/>
        <w:i/>
        <w:iCs/>
        <w:color w:val="202020"/>
        <w:sz w:val="18"/>
        <w:szCs w:val="18"/>
      </w:rPr>
      <w:t>Every effort is made to ensure that the information contained in this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 The information contained in this newsletter is the best available from the resources at our disposal at the time. Acronyms used are standard formulary. This newsletter is produced by the NHS Kent and Medway Medicines Optimisation Team on behalf of the Kent &amp; Medway ICB. For all correspondence including any queries, please contact the Medicines Optimisation team email: kmicb.medicinesoptimisation@nhs.net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C42E" w14:textId="77777777" w:rsidR="0049775A" w:rsidRDefault="0049775A" w:rsidP="00BB6A3C">
      <w:r>
        <w:separator/>
      </w:r>
    </w:p>
  </w:footnote>
  <w:footnote w:type="continuationSeparator" w:id="0">
    <w:p w14:paraId="0D36265B" w14:textId="77777777" w:rsidR="0049775A" w:rsidRDefault="0049775A"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85"/>
    <w:multiLevelType w:val="hybridMultilevel"/>
    <w:tmpl w:val="5F9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6B4"/>
    <w:multiLevelType w:val="hybridMultilevel"/>
    <w:tmpl w:val="358800F6"/>
    <w:lvl w:ilvl="0" w:tplc="63F4F6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923B2E"/>
    <w:multiLevelType w:val="multilevel"/>
    <w:tmpl w:val="42F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E2FA4"/>
    <w:multiLevelType w:val="multilevel"/>
    <w:tmpl w:val="B6C0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63430"/>
    <w:multiLevelType w:val="hybridMultilevel"/>
    <w:tmpl w:val="813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93490"/>
    <w:multiLevelType w:val="hybridMultilevel"/>
    <w:tmpl w:val="51A2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27B41"/>
    <w:multiLevelType w:val="hybridMultilevel"/>
    <w:tmpl w:val="2262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796356">
    <w:abstractNumId w:val="3"/>
  </w:num>
  <w:num w:numId="2" w16cid:durableId="1629819888">
    <w:abstractNumId w:val="1"/>
  </w:num>
  <w:num w:numId="3" w16cid:durableId="1272930589">
    <w:abstractNumId w:val="0"/>
  </w:num>
  <w:num w:numId="4" w16cid:durableId="1252736797">
    <w:abstractNumId w:val="5"/>
  </w:num>
  <w:num w:numId="5" w16cid:durableId="1112624242">
    <w:abstractNumId w:val="2"/>
  </w:num>
  <w:num w:numId="6" w16cid:durableId="1725252836">
    <w:abstractNumId w:val="6"/>
  </w:num>
  <w:num w:numId="7" w16cid:durableId="116683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2"/>
    <w:rsid w:val="0007102D"/>
    <w:rsid w:val="000803AE"/>
    <w:rsid w:val="000A682D"/>
    <w:rsid w:val="000B4B5B"/>
    <w:rsid w:val="000C0A91"/>
    <w:rsid w:val="00125CFA"/>
    <w:rsid w:val="00136AB8"/>
    <w:rsid w:val="001C74D0"/>
    <w:rsid w:val="001F5B0D"/>
    <w:rsid w:val="00202F93"/>
    <w:rsid w:val="00226B01"/>
    <w:rsid w:val="00230F70"/>
    <w:rsid w:val="00261AAD"/>
    <w:rsid w:val="00266C3F"/>
    <w:rsid w:val="002760D5"/>
    <w:rsid w:val="002901FD"/>
    <w:rsid w:val="002A366D"/>
    <w:rsid w:val="00323E23"/>
    <w:rsid w:val="00354447"/>
    <w:rsid w:val="00372619"/>
    <w:rsid w:val="0041427C"/>
    <w:rsid w:val="00424046"/>
    <w:rsid w:val="004910FC"/>
    <w:rsid w:val="0049775A"/>
    <w:rsid w:val="00514586"/>
    <w:rsid w:val="00534AD8"/>
    <w:rsid w:val="00563A4E"/>
    <w:rsid w:val="0059275A"/>
    <w:rsid w:val="006007F3"/>
    <w:rsid w:val="00604742"/>
    <w:rsid w:val="006127A2"/>
    <w:rsid w:val="006222B5"/>
    <w:rsid w:val="0064221E"/>
    <w:rsid w:val="00647897"/>
    <w:rsid w:val="00667D8F"/>
    <w:rsid w:val="00677D69"/>
    <w:rsid w:val="006C00E9"/>
    <w:rsid w:val="006C6725"/>
    <w:rsid w:val="007164C2"/>
    <w:rsid w:val="007326F1"/>
    <w:rsid w:val="0075068F"/>
    <w:rsid w:val="007829F3"/>
    <w:rsid w:val="007A0431"/>
    <w:rsid w:val="007C6249"/>
    <w:rsid w:val="00840649"/>
    <w:rsid w:val="00852C1A"/>
    <w:rsid w:val="008864EC"/>
    <w:rsid w:val="0089509B"/>
    <w:rsid w:val="008D58A6"/>
    <w:rsid w:val="008D6F54"/>
    <w:rsid w:val="00901AEA"/>
    <w:rsid w:val="00912DC0"/>
    <w:rsid w:val="009379B7"/>
    <w:rsid w:val="009425DA"/>
    <w:rsid w:val="00942CC3"/>
    <w:rsid w:val="009E37A6"/>
    <w:rsid w:val="009E6BB7"/>
    <w:rsid w:val="00A25866"/>
    <w:rsid w:val="00A61838"/>
    <w:rsid w:val="00A76139"/>
    <w:rsid w:val="00B37B25"/>
    <w:rsid w:val="00B733DF"/>
    <w:rsid w:val="00B977F8"/>
    <w:rsid w:val="00BB3EF1"/>
    <w:rsid w:val="00BB6A3C"/>
    <w:rsid w:val="00C01016"/>
    <w:rsid w:val="00C0385D"/>
    <w:rsid w:val="00C349F2"/>
    <w:rsid w:val="00C376D5"/>
    <w:rsid w:val="00C43EA0"/>
    <w:rsid w:val="00C61EFB"/>
    <w:rsid w:val="00C73215"/>
    <w:rsid w:val="00C738DD"/>
    <w:rsid w:val="00C90FE9"/>
    <w:rsid w:val="00CE724F"/>
    <w:rsid w:val="00D36C2E"/>
    <w:rsid w:val="00D37130"/>
    <w:rsid w:val="00D5138F"/>
    <w:rsid w:val="00D635FB"/>
    <w:rsid w:val="00D76676"/>
    <w:rsid w:val="00DD60F8"/>
    <w:rsid w:val="00DF086E"/>
    <w:rsid w:val="00E24241"/>
    <w:rsid w:val="00E7267A"/>
    <w:rsid w:val="00EC578E"/>
    <w:rsid w:val="00F12C8E"/>
    <w:rsid w:val="00F173F5"/>
    <w:rsid w:val="00F52090"/>
    <w:rsid w:val="00F62959"/>
    <w:rsid w:val="00F728F3"/>
    <w:rsid w:val="00F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551007"/>
  <w15:chartTrackingRefBased/>
  <w15:docId w15:val="{914F3490-FF75-4BF0-A2D5-11957C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C2"/>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C349F2"/>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character" w:styleId="FollowedHyperlink">
    <w:name w:val="FollowedHyperlink"/>
    <w:basedOn w:val="DefaultParagraphFont"/>
    <w:uiPriority w:val="99"/>
    <w:semiHidden/>
    <w:unhideWhenUsed/>
    <w:rsid w:val="00323E23"/>
    <w:rPr>
      <w:color w:val="800080" w:themeColor="followedHyperlink"/>
      <w:u w:val="single"/>
    </w:rPr>
  </w:style>
  <w:style w:type="paragraph" w:styleId="NormalWeb">
    <w:name w:val="Normal (Web)"/>
    <w:basedOn w:val="Normal"/>
    <w:uiPriority w:val="99"/>
    <w:semiHidden/>
    <w:unhideWhenUsed/>
    <w:rsid w:val="00F62959"/>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852C1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848">
      <w:bodyDiv w:val="1"/>
      <w:marLeft w:val="0"/>
      <w:marRight w:val="0"/>
      <w:marTop w:val="0"/>
      <w:marBottom w:val="0"/>
      <w:divBdr>
        <w:top w:val="none" w:sz="0" w:space="0" w:color="auto"/>
        <w:left w:val="none" w:sz="0" w:space="0" w:color="auto"/>
        <w:bottom w:val="none" w:sz="0" w:space="0" w:color="auto"/>
        <w:right w:val="none" w:sz="0" w:space="0" w:color="auto"/>
      </w:divBdr>
    </w:div>
    <w:div w:id="401681403">
      <w:bodyDiv w:val="1"/>
      <w:marLeft w:val="0"/>
      <w:marRight w:val="0"/>
      <w:marTop w:val="0"/>
      <w:marBottom w:val="0"/>
      <w:divBdr>
        <w:top w:val="none" w:sz="0" w:space="0" w:color="auto"/>
        <w:left w:val="none" w:sz="0" w:space="0" w:color="auto"/>
        <w:bottom w:val="none" w:sz="0" w:space="0" w:color="auto"/>
        <w:right w:val="none" w:sz="0" w:space="0" w:color="auto"/>
      </w:divBdr>
    </w:div>
    <w:div w:id="424768210">
      <w:bodyDiv w:val="1"/>
      <w:marLeft w:val="0"/>
      <w:marRight w:val="0"/>
      <w:marTop w:val="0"/>
      <w:marBottom w:val="0"/>
      <w:divBdr>
        <w:top w:val="none" w:sz="0" w:space="0" w:color="auto"/>
        <w:left w:val="none" w:sz="0" w:space="0" w:color="auto"/>
        <w:bottom w:val="none" w:sz="0" w:space="0" w:color="auto"/>
        <w:right w:val="none" w:sz="0" w:space="0" w:color="auto"/>
      </w:divBdr>
      <w:divsChild>
        <w:div w:id="1964261561">
          <w:marLeft w:val="0"/>
          <w:marRight w:val="0"/>
          <w:marTop w:val="0"/>
          <w:marBottom w:val="0"/>
          <w:divBdr>
            <w:top w:val="none" w:sz="0" w:space="0" w:color="auto"/>
            <w:left w:val="none" w:sz="0" w:space="0" w:color="auto"/>
            <w:bottom w:val="none" w:sz="0" w:space="0" w:color="auto"/>
            <w:right w:val="none" w:sz="0" w:space="0" w:color="auto"/>
          </w:divBdr>
        </w:div>
        <w:div w:id="119543302">
          <w:marLeft w:val="0"/>
          <w:marRight w:val="0"/>
          <w:marTop w:val="0"/>
          <w:marBottom w:val="0"/>
          <w:divBdr>
            <w:top w:val="none" w:sz="0" w:space="0" w:color="auto"/>
            <w:left w:val="none" w:sz="0" w:space="0" w:color="auto"/>
            <w:bottom w:val="none" w:sz="0" w:space="0" w:color="auto"/>
            <w:right w:val="none" w:sz="0" w:space="0" w:color="auto"/>
          </w:divBdr>
        </w:div>
        <w:div w:id="1988970985">
          <w:marLeft w:val="0"/>
          <w:marRight w:val="0"/>
          <w:marTop w:val="0"/>
          <w:marBottom w:val="0"/>
          <w:divBdr>
            <w:top w:val="none" w:sz="0" w:space="0" w:color="auto"/>
            <w:left w:val="none" w:sz="0" w:space="0" w:color="auto"/>
            <w:bottom w:val="none" w:sz="0" w:space="0" w:color="auto"/>
            <w:right w:val="none" w:sz="0" w:space="0" w:color="auto"/>
          </w:divBdr>
        </w:div>
      </w:divsChild>
    </w:div>
    <w:div w:id="561989190">
      <w:bodyDiv w:val="1"/>
      <w:marLeft w:val="0"/>
      <w:marRight w:val="0"/>
      <w:marTop w:val="0"/>
      <w:marBottom w:val="0"/>
      <w:divBdr>
        <w:top w:val="none" w:sz="0" w:space="0" w:color="auto"/>
        <w:left w:val="none" w:sz="0" w:space="0" w:color="auto"/>
        <w:bottom w:val="none" w:sz="0" w:space="0" w:color="auto"/>
        <w:right w:val="none" w:sz="0" w:space="0" w:color="auto"/>
      </w:divBdr>
    </w:div>
    <w:div w:id="744107398">
      <w:bodyDiv w:val="1"/>
      <w:marLeft w:val="0"/>
      <w:marRight w:val="0"/>
      <w:marTop w:val="0"/>
      <w:marBottom w:val="0"/>
      <w:divBdr>
        <w:top w:val="none" w:sz="0" w:space="0" w:color="auto"/>
        <w:left w:val="none" w:sz="0" w:space="0" w:color="auto"/>
        <w:bottom w:val="none" w:sz="0" w:space="0" w:color="auto"/>
        <w:right w:val="none" w:sz="0" w:space="0" w:color="auto"/>
      </w:divBdr>
      <w:divsChild>
        <w:div w:id="100998181">
          <w:marLeft w:val="0"/>
          <w:marRight w:val="0"/>
          <w:marTop w:val="0"/>
          <w:marBottom w:val="0"/>
          <w:divBdr>
            <w:top w:val="none" w:sz="0" w:space="0" w:color="auto"/>
            <w:left w:val="none" w:sz="0" w:space="0" w:color="auto"/>
            <w:bottom w:val="none" w:sz="0" w:space="0" w:color="auto"/>
            <w:right w:val="none" w:sz="0" w:space="0" w:color="auto"/>
          </w:divBdr>
        </w:div>
        <w:div w:id="1208563220">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1791633552">
          <w:marLeft w:val="0"/>
          <w:marRight w:val="0"/>
          <w:marTop w:val="0"/>
          <w:marBottom w:val="0"/>
          <w:divBdr>
            <w:top w:val="none" w:sz="0" w:space="0" w:color="auto"/>
            <w:left w:val="none" w:sz="0" w:space="0" w:color="auto"/>
            <w:bottom w:val="none" w:sz="0" w:space="0" w:color="auto"/>
            <w:right w:val="none" w:sz="0" w:space="0" w:color="auto"/>
          </w:divBdr>
        </w:div>
        <w:div w:id="747850801">
          <w:marLeft w:val="0"/>
          <w:marRight w:val="0"/>
          <w:marTop w:val="0"/>
          <w:marBottom w:val="0"/>
          <w:divBdr>
            <w:top w:val="none" w:sz="0" w:space="0" w:color="auto"/>
            <w:left w:val="none" w:sz="0" w:space="0" w:color="auto"/>
            <w:bottom w:val="none" w:sz="0" w:space="0" w:color="auto"/>
            <w:right w:val="none" w:sz="0" w:space="0" w:color="auto"/>
          </w:divBdr>
        </w:div>
        <w:div w:id="201747785">
          <w:marLeft w:val="0"/>
          <w:marRight w:val="0"/>
          <w:marTop w:val="0"/>
          <w:marBottom w:val="0"/>
          <w:divBdr>
            <w:top w:val="none" w:sz="0" w:space="0" w:color="auto"/>
            <w:left w:val="none" w:sz="0" w:space="0" w:color="auto"/>
            <w:bottom w:val="none" w:sz="0" w:space="0" w:color="auto"/>
            <w:right w:val="none" w:sz="0" w:space="0" w:color="auto"/>
          </w:divBdr>
        </w:div>
      </w:divsChild>
    </w:div>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 w:id="1234387539">
      <w:bodyDiv w:val="1"/>
      <w:marLeft w:val="0"/>
      <w:marRight w:val="0"/>
      <w:marTop w:val="0"/>
      <w:marBottom w:val="0"/>
      <w:divBdr>
        <w:top w:val="none" w:sz="0" w:space="0" w:color="auto"/>
        <w:left w:val="none" w:sz="0" w:space="0" w:color="auto"/>
        <w:bottom w:val="none" w:sz="0" w:space="0" w:color="auto"/>
        <w:right w:val="none" w:sz="0" w:space="0" w:color="auto"/>
      </w:divBdr>
      <w:divsChild>
        <w:div w:id="42943847">
          <w:marLeft w:val="0"/>
          <w:marRight w:val="0"/>
          <w:marTop w:val="0"/>
          <w:marBottom w:val="0"/>
          <w:divBdr>
            <w:top w:val="none" w:sz="0" w:space="0" w:color="auto"/>
            <w:left w:val="none" w:sz="0" w:space="0" w:color="auto"/>
            <w:bottom w:val="none" w:sz="0" w:space="0" w:color="auto"/>
            <w:right w:val="none" w:sz="0" w:space="0" w:color="auto"/>
          </w:divBdr>
        </w:div>
        <w:div w:id="379743506">
          <w:marLeft w:val="0"/>
          <w:marRight w:val="0"/>
          <w:marTop w:val="0"/>
          <w:marBottom w:val="0"/>
          <w:divBdr>
            <w:top w:val="none" w:sz="0" w:space="0" w:color="auto"/>
            <w:left w:val="none" w:sz="0" w:space="0" w:color="auto"/>
            <w:bottom w:val="none" w:sz="0" w:space="0" w:color="auto"/>
            <w:right w:val="none" w:sz="0" w:space="0" w:color="auto"/>
          </w:divBdr>
        </w:div>
        <w:div w:id="2054116114">
          <w:marLeft w:val="0"/>
          <w:marRight w:val="0"/>
          <w:marTop w:val="0"/>
          <w:marBottom w:val="0"/>
          <w:divBdr>
            <w:top w:val="none" w:sz="0" w:space="0" w:color="auto"/>
            <w:left w:val="none" w:sz="0" w:space="0" w:color="auto"/>
            <w:bottom w:val="none" w:sz="0" w:space="0" w:color="auto"/>
            <w:right w:val="none" w:sz="0" w:space="0" w:color="auto"/>
          </w:divBdr>
        </w:div>
        <w:div w:id="1963263455">
          <w:marLeft w:val="0"/>
          <w:marRight w:val="0"/>
          <w:marTop w:val="0"/>
          <w:marBottom w:val="0"/>
          <w:divBdr>
            <w:top w:val="none" w:sz="0" w:space="0" w:color="auto"/>
            <w:left w:val="none" w:sz="0" w:space="0" w:color="auto"/>
            <w:bottom w:val="none" w:sz="0" w:space="0" w:color="auto"/>
            <w:right w:val="none" w:sz="0" w:space="0" w:color="auto"/>
          </w:divBdr>
        </w:div>
        <w:div w:id="668875762">
          <w:marLeft w:val="0"/>
          <w:marRight w:val="0"/>
          <w:marTop w:val="0"/>
          <w:marBottom w:val="0"/>
          <w:divBdr>
            <w:top w:val="none" w:sz="0" w:space="0" w:color="auto"/>
            <w:left w:val="none" w:sz="0" w:space="0" w:color="auto"/>
            <w:bottom w:val="none" w:sz="0" w:space="0" w:color="auto"/>
            <w:right w:val="none" w:sz="0" w:space="0" w:color="auto"/>
          </w:divBdr>
        </w:div>
        <w:div w:id="2108697428">
          <w:marLeft w:val="0"/>
          <w:marRight w:val="0"/>
          <w:marTop w:val="0"/>
          <w:marBottom w:val="0"/>
          <w:divBdr>
            <w:top w:val="none" w:sz="0" w:space="0" w:color="auto"/>
            <w:left w:val="none" w:sz="0" w:space="0" w:color="auto"/>
            <w:bottom w:val="none" w:sz="0" w:space="0" w:color="auto"/>
            <w:right w:val="none" w:sz="0" w:space="0" w:color="auto"/>
          </w:divBdr>
        </w:div>
      </w:divsChild>
    </w:div>
    <w:div w:id="1762919721">
      <w:bodyDiv w:val="1"/>
      <w:marLeft w:val="0"/>
      <w:marRight w:val="0"/>
      <w:marTop w:val="0"/>
      <w:marBottom w:val="0"/>
      <w:divBdr>
        <w:top w:val="none" w:sz="0" w:space="0" w:color="auto"/>
        <w:left w:val="none" w:sz="0" w:space="0" w:color="auto"/>
        <w:bottom w:val="none" w:sz="0" w:space="0" w:color="auto"/>
        <w:right w:val="none" w:sz="0" w:space="0" w:color="auto"/>
      </w:divBdr>
      <w:divsChild>
        <w:div w:id="1184712048">
          <w:marLeft w:val="0"/>
          <w:marRight w:val="0"/>
          <w:marTop w:val="0"/>
          <w:marBottom w:val="0"/>
          <w:divBdr>
            <w:top w:val="none" w:sz="0" w:space="0" w:color="auto"/>
            <w:left w:val="none" w:sz="0" w:space="0" w:color="auto"/>
            <w:bottom w:val="none" w:sz="0" w:space="0" w:color="auto"/>
            <w:right w:val="none" w:sz="0" w:space="0" w:color="auto"/>
          </w:divBdr>
        </w:div>
        <w:div w:id="1957909523">
          <w:marLeft w:val="0"/>
          <w:marRight w:val="0"/>
          <w:marTop w:val="0"/>
          <w:marBottom w:val="0"/>
          <w:divBdr>
            <w:top w:val="none" w:sz="0" w:space="0" w:color="auto"/>
            <w:left w:val="none" w:sz="0" w:space="0" w:color="auto"/>
            <w:bottom w:val="none" w:sz="0" w:space="0" w:color="auto"/>
            <w:right w:val="none" w:sz="0" w:space="0" w:color="auto"/>
          </w:divBdr>
        </w:div>
        <w:div w:id="44263010">
          <w:marLeft w:val="0"/>
          <w:marRight w:val="0"/>
          <w:marTop w:val="0"/>
          <w:marBottom w:val="0"/>
          <w:divBdr>
            <w:top w:val="none" w:sz="0" w:space="0" w:color="auto"/>
            <w:left w:val="none" w:sz="0" w:space="0" w:color="auto"/>
            <w:bottom w:val="none" w:sz="0" w:space="0" w:color="auto"/>
            <w:right w:val="none" w:sz="0" w:space="0" w:color="auto"/>
          </w:divBdr>
        </w:div>
        <w:div w:id="1738742284">
          <w:marLeft w:val="0"/>
          <w:marRight w:val="0"/>
          <w:marTop w:val="0"/>
          <w:marBottom w:val="0"/>
          <w:divBdr>
            <w:top w:val="none" w:sz="0" w:space="0" w:color="auto"/>
            <w:left w:val="none" w:sz="0" w:space="0" w:color="auto"/>
            <w:bottom w:val="none" w:sz="0" w:space="0" w:color="auto"/>
            <w:right w:val="none" w:sz="0" w:space="0" w:color="auto"/>
          </w:divBdr>
        </w:div>
        <w:div w:id="1043476996">
          <w:marLeft w:val="0"/>
          <w:marRight w:val="0"/>
          <w:marTop w:val="0"/>
          <w:marBottom w:val="0"/>
          <w:divBdr>
            <w:top w:val="none" w:sz="0" w:space="0" w:color="auto"/>
            <w:left w:val="none" w:sz="0" w:space="0" w:color="auto"/>
            <w:bottom w:val="none" w:sz="0" w:space="0" w:color="auto"/>
            <w:right w:val="none" w:sz="0" w:space="0" w:color="auto"/>
          </w:divBdr>
        </w:div>
        <w:div w:id="5617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ib.org.uk/investigations-and-reports/potential-under-recognised-risk-of-harm-from-the-use-of-propranolol/potential-under-recognised-risk-of-harm-from-the-use-of-propranolol/" TargetMode="External"/><Relationship Id="rId18" Type="http://schemas.openxmlformats.org/officeDocument/2006/relationships/hyperlink" Target="https://www.gov.uk/drug-safety-update/janus-kinase-jak-inhibitors-new-measures-to-reduce-risks-of-major-cardiovascular-events-malignancy-venous-thromboembolism-serious-infections-and-increased-mortality" TargetMode="Externa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gov.uk/government/news/patients-asked-to-return-emerade-300-and-500-microgram-adrenaline-pens-for-replacement" TargetMode="Externa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gov.uk/drug-safety-update/isotretinoin-roaccutanev-new-safety-measures-to-be-introduced-in-the-coming-months-including-additional-oversight-on-initiation-of-treatment-for-patients-under-18-years"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yellowcard.mhra.gov.uk/" TargetMode="External"/><Relationship Id="rId20" Type="http://schemas.openxmlformats.org/officeDocument/2006/relationships/hyperlink" Target="https://www.cas.mhra.gov.uk/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medicines.org.uk/emc/files/pil.4289.pdf" TargetMode="External"/><Relationship Id="rId5" Type="http://schemas.openxmlformats.org/officeDocument/2006/relationships/styles" Target="styles.xml"/><Relationship Id="rId15" Type="http://schemas.openxmlformats.org/officeDocument/2006/relationships/hyperlink" Target="https://www.gov.uk/drug-safety-update/nitrofurantoin-reminder-of-the-risks-of-pulmonary-and-hepatic-adverse-drug-reactions" TargetMode="External"/><Relationship Id="rId23" Type="http://schemas.openxmlformats.org/officeDocument/2006/relationships/hyperlink" Target="https://www.medicines.org.uk/emc/files/pil.5747.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drug-safety-update/letters-and-medicine-recalls-sent-to-healthcare-professionals-in-march-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rug-safety-update" TargetMode="External"/><Relationship Id="rId22" Type="http://schemas.openxmlformats.org/officeDocument/2006/relationships/hyperlink" Target="https://gbr01.safelinks.protection.outlook.com/?url=https%3A%2F%2Fwww.cas.mhra.gov.uk%2FViewAndAcknowledgment%2FviewAttachment.aspx%3FAttachment_id%3D104135&amp;data=05%7C01%7Ccath.cooksey%40nhs.net%7C9f271fef514e4c84c8eb08db516ad88c%7C37c354b285b047f5b22207b48d774ee3%7C0%7C0%7C638193291557111511%7CUnknown%7CTWFpbGZsb3d8eyJWIjoiMC4wLjAwMDAiLCJQIjoiV2luMzIiLCJBTiI6Ik1haWwiLCJXVCI6Mn0%3D%7C3000%7C%7C%7C&amp;sdata=Qq7dShE0vQfPARCpsOdsJRAcouw8nKtgs4NkTKDQipk%3D&amp;reserve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B2B1C-F556-4616-B905-70D1E2EA90B9}">
  <ds:schemaRefs>
    <ds:schemaRef ds:uri="http://schemas.microsoft.com/sharepoint/v3/contenttype/forms"/>
  </ds:schemaRefs>
</ds:datastoreItem>
</file>

<file path=customXml/itemProps2.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GRAY, Millie (NHS KENT AND MEDWAY ICB - 91Q)</cp:lastModifiedBy>
  <cp:revision>2</cp:revision>
  <dcterms:created xsi:type="dcterms:W3CDTF">2023-05-22T10:08:00Z</dcterms:created>
  <dcterms:modified xsi:type="dcterms:W3CDTF">2023-05-22T10:08:00Z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