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7E51" w14:textId="72DB561C" w:rsidR="00EE1F83" w:rsidRPr="00EE1F83" w:rsidRDefault="00EE1F83" w:rsidP="00EE1F83">
      <w:pPr>
        <w:ind w:left="-1276" w:right="-307" w:firstLine="425"/>
        <w:jc w:val="right"/>
        <w:rPr>
          <w:rFonts w:eastAsia="Times New Roman"/>
        </w:rPr>
      </w:pPr>
      <w:r w:rsidRPr="00EE1F83">
        <w:rPr>
          <w:rFonts w:ascii="Helvetica" w:hAnsi="Helvetica" w:cs="Helvetica"/>
          <w:noProof/>
          <w:color w:val="202020"/>
          <w:sz w:val="24"/>
          <w:szCs w:val="24"/>
        </w:rPr>
        <mc:AlternateContent>
          <mc:Choice Requires="wps">
            <w:drawing>
              <wp:anchor distT="45720" distB="45720" distL="114300" distR="114300" simplePos="0" relativeHeight="251659264" behindDoc="0" locked="0" layoutInCell="1" allowOverlap="1" wp14:anchorId="6A0C0BC4" wp14:editId="2A3A97A4">
                <wp:simplePos x="0" y="0"/>
                <wp:positionH relativeFrom="column">
                  <wp:posOffset>-28575</wp:posOffset>
                </wp:positionH>
                <wp:positionV relativeFrom="paragraph">
                  <wp:posOffset>757555</wp:posOffset>
                </wp:positionV>
                <wp:extent cx="674370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7030A0"/>
                        </a:solidFill>
                        <a:ln w="9525">
                          <a:solidFill>
                            <a:srgbClr val="7030A0"/>
                          </a:solidFill>
                          <a:miter lim="800000"/>
                          <a:headEnd/>
                          <a:tailEnd/>
                        </a:ln>
                      </wps:spPr>
                      <wps:txb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2CDB2B2A" w:rsidR="00EE1F83" w:rsidRPr="00EE1F83" w:rsidRDefault="00EE1F83">
                            <w:pPr>
                              <w:rPr>
                                <w:b/>
                                <w:bCs/>
                                <w:color w:val="FFFFFF" w:themeColor="background1"/>
                                <w:sz w:val="44"/>
                                <w:szCs w:val="44"/>
                              </w:rPr>
                            </w:pPr>
                            <w:r w:rsidRPr="00EE1F83">
                              <w:rPr>
                                <w:b/>
                                <w:bCs/>
                                <w:color w:val="FFFFFF" w:themeColor="background1"/>
                                <w:sz w:val="44"/>
                                <w:szCs w:val="44"/>
                              </w:rPr>
                              <w:t>[</w:t>
                            </w:r>
                            <w:r w:rsidR="00CE3052">
                              <w:rPr>
                                <w:b/>
                                <w:bCs/>
                                <w:color w:val="FFFFFF" w:themeColor="background1"/>
                                <w:sz w:val="44"/>
                                <w:szCs w:val="44"/>
                              </w:rPr>
                              <w:t>November</w:t>
                            </w:r>
                            <w:r w:rsidR="007D6E0F">
                              <w:rPr>
                                <w:b/>
                                <w:bCs/>
                                <w:color w:val="FFFFFF" w:themeColor="background1"/>
                                <w:sz w:val="44"/>
                                <w:szCs w:val="44"/>
                              </w:rPr>
                              <w:t xml:space="preserve"> </w:t>
                            </w:r>
                            <w:r w:rsidRPr="00EE1F83">
                              <w:rPr>
                                <w:b/>
                                <w:bCs/>
                                <w:color w:val="FFFFFF" w:themeColor="background1"/>
                                <w:sz w:val="44"/>
                                <w:szCs w:val="44"/>
                              </w:rPr>
                              <w:t>202</w:t>
                            </w:r>
                            <w:r w:rsidR="007D6E0F">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(Issue No.</w:t>
                            </w:r>
                            <w:r w:rsidR="00CE3052">
                              <w:rPr>
                                <w:b/>
                                <w:bCs/>
                                <w:color w:val="FFFFFF" w:themeColor="background1"/>
                                <w:sz w:val="44"/>
                                <w:szCs w:val="44"/>
                              </w:rPr>
                              <w:t>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0BC4" id="_x0000_t202" coordsize="21600,21600" o:spt="202" path="m,l,21600r21600,l21600,xe">
                <v:stroke joinstyle="miter"/>
                <v:path gradientshapeok="t" o:connecttype="rect"/>
              </v:shapetype>
              <v:shape id="Text Box 2" o:spid="_x0000_s1026" type="#_x0000_t202" style="position:absolute;left:0;text-align:left;margin-left:-2.25pt;margin-top:59.65pt;width:531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" fillcolor="#7030a0" strokecolor="#7030a0">
                <v:textbo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2CDB2B2A" w:rsidR="00EE1F83" w:rsidRPr="00EE1F83" w:rsidRDefault="00EE1F83">
                      <w:pPr>
                        <w:rPr>
                          <w:b/>
                          <w:bCs/>
                          <w:color w:val="FFFFFF" w:themeColor="background1"/>
                          <w:sz w:val="44"/>
                          <w:szCs w:val="44"/>
                        </w:rPr>
                      </w:pPr>
                      <w:r w:rsidRPr="00EE1F83">
                        <w:rPr>
                          <w:b/>
                          <w:bCs/>
                          <w:color w:val="FFFFFF" w:themeColor="background1"/>
                          <w:sz w:val="44"/>
                          <w:szCs w:val="44"/>
                        </w:rPr>
                        <w:t>[</w:t>
                      </w:r>
                      <w:r w:rsidR="00CE3052">
                        <w:rPr>
                          <w:b/>
                          <w:bCs/>
                          <w:color w:val="FFFFFF" w:themeColor="background1"/>
                          <w:sz w:val="44"/>
                          <w:szCs w:val="44"/>
                        </w:rPr>
                        <w:t>November</w:t>
                      </w:r>
                      <w:r w:rsidR="007D6E0F">
                        <w:rPr>
                          <w:b/>
                          <w:bCs/>
                          <w:color w:val="FFFFFF" w:themeColor="background1"/>
                          <w:sz w:val="44"/>
                          <w:szCs w:val="44"/>
                        </w:rPr>
                        <w:t xml:space="preserve"> </w:t>
                      </w:r>
                      <w:r w:rsidRPr="00EE1F83">
                        <w:rPr>
                          <w:b/>
                          <w:bCs/>
                          <w:color w:val="FFFFFF" w:themeColor="background1"/>
                          <w:sz w:val="44"/>
                          <w:szCs w:val="44"/>
                        </w:rPr>
                        <w:t>202</w:t>
                      </w:r>
                      <w:r w:rsidR="007D6E0F">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(Issue No.</w:t>
                      </w:r>
                      <w:r w:rsidR="00CE3052">
                        <w:rPr>
                          <w:b/>
                          <w:bCs/>
                          <w:color w:val="FFFFFF" w:themeColor="background1"/>
                          <w:sz w:val="44"/>
                          <w:szCs w:val="44"/>
                        </w:rPr>
                        <w:t>64)</w:t>
                      </w:r>
                    </w:p>
                  </w:txbxContent>
                </v:textbox>
                <w10:wrap type="square"/>
              </v:shape>
            </w:pict>
          </mc:Fallback>
        </mc:AlternateContent>
      </w:r>
      <w:r>
        <w:rPr>
          <w:rFonts w:eastAsia="Times New Roman"/>
          <w:noProof/>
        </w:rPr>
        <w:drawing>
          <wp:anchor distT="0" distB="0" distL="114300" distR="114300" simplePos="0" relativeHeight="251660288" behindDoc="0" locked="0" layoutInCell="1" allowOverlap="1" wp14:anchorId="4C8BFEB1" wp14:editId="6DFE56AE">
            <wp:simplePos x="0" y="0"/>
            <wp:positionH relativeFrom="column">
              <wp:posOffset>5915025</wp:posOffset>
            </wp:positionH>
            <wp:positionV relativeFrom="paragraph">
              <wp:posOffset>757555</wp:posOffset>
            </wp:positionV>
            <wp:extent cx="866775" cy="866775"/>
            <wp:effectExtent l="0" t="0" r="0" b="0"/>
            <wp:wrapNone/>
            <wp:docPr id="4" name="Graphic 4"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edicin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647897">
        <w:rPr>
          <w:noProof/>
        </w:rPr>
        <w:drawing>
          <wp:inline distT="0" distB="0" distL="0" distR="0" wp14:anchorId="7C509A6E" wp14:editId="13B6295D">
            <wp:extent cx="1702810" cy="638175"/>
            <wp:effectExtent l="0" t="0" r="0" b="0"/>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697" t="20515" r="8189" b="14176"/>
                    <a:stretch/>
                  </pic:blipFill>
                  <pic:spPr bwMode="auto">
                    <a:xfrm>
                      <a:off x="0" y="0"/>
                      <a:ext cx="1745194" cy="654060"/>
                    </a:xfrm>
                    <a:prstGeom prst="rect">
                      <a:avLst/>
                    </a:prstGeom>
                    <a:noFill/>
                    <a:ln>
                      <a:noFill/>
                    </a:ln>
                    <a:extLst>
                      <a:ext uri="{53640926-AAD7-44D8-BBD7-CCE9431645EC}">
                        <a14:shadowObscured xmlns:a14="http://schemas.microsoft.com/office/drawing/2010/main"/>
                      </a:ext>
                    </a:extLst>
                  </pic:spPr>
                </pic:pic>
              </a:graphicData>
            </a:graphic>
          </wp:inline>
        </w:drawing>
      </w:r>
    </w:p>
    <w:p w14:paraId="2441A1EE" w14:textId="77777777" w:rsidR="00EE1F83" w:rsidRDefault="00EE1F83" w:rsidP="00C349F2">
      <w:pPr>
        <w:rPr>
          <w:rFonts w:eastAsia="Times New Roman"/>
        </w:rPr>
      </w:pPr>
    </w:p>
    <w:p w14:paraId="59230E6D" w14:textId="6213D366" w:rsidR="009E73B5" w:rsidRPr="009E73B5" w:rsidRDefault="009E73B5" w:rsidP="009A7DC7">
      <w:pPr>
        <w:pStyle w:val="ListParagraph"/>
        <w:numPr>
          <w:ilvl w:val="0"/>
          <w:numId w:val="17"/>
        </w:numPr>
        <w:spacing w:line="360" w:lineRule="auto"/>
        <w:ind w:left="714" w:hanging="357"/>
        <w:rPr>
          <w:rStyle w:val="Hyperlink"/>
        </w:rPr>
      </w:pPr>
      <w:r>
        <w:rPr>
          <w:color w:val="0000FF"/>
          <w:u w:val="single"/>
        </w:rPr>
        <w:fldChar w:fldCharType="begin"/>
      </w:r>
      <w:r w:rsidR="00AE2D53">
        <w:rPr>
          <w:color w:val="0000FF"/>
          <w:u w:val="single"/>
        </w:rPr>
        <w:instrText>HYPERLINK  \l "Article1"</w:instrText>
      </w:r>
      <w:r w:rsidR="00AE2D53">
        <w:rPr>
          <w:color w:val="0000FF"/>
          <w:u w:val="single"/>
        </w:rPr>
      </w:r>
      <w:r>
        <w:rPr>
          <w:color w:val="0000FF"/>
          <w:u w:val="single"/>
        </w:rPr>
        <w:fldChar w:fldCharType="separate"/>
      </w:r>
      <w:r w:rsidR="00295579" w:rsidRPr="00295579">
        <w:rPr>
          <w:rStyle w:val="Hyperlink"/>
        </w:rPr>
        <w:t>Kent and Medway ICB P</w:t>
      </w:r>
      <w:r w:rsidR="00295579" w:rsidRPr="00295579">
        <w:rPr>
          <w:rStyle w:val="Hyperlink"/>
        </w:rPr>
        <w:t>a</w:t>
      </w:r>
      <w:r w:rsidR="00295579" w:rsidRPr="00295579">
        <w:rPr>
          <w:rStyle w:val="Hyperlink"/>
        </w:rPr>
        <w:t>in Services Com</w:t>
      </w:r>
      <w:r w:rsidR="00295579" w:rsidRPr="00295579">
        <w:rPr>
          <w:rStyle w:val="Hyperlink"/>
        </w:rPr>
        <w:t>m</w:t>
      </w:r>
      <w:r w:rsidR="00295579" w:rsidRPr="00295579">
        <w:rPr>
          <w:rStyle w:val="Hyperlink"/>
        </w:rPr>
        <w:t>unity of Practice Webinar</w:t>
      </w:r>
    </w:p>
    <w:p w14:paraId="0DDEFC5F" w14:textId="3E110AEA" w:rsidR="00F16BBD" w:rsidRDefault="009E73B5" w:rsidP="009A7DC7">
      <w:pPr>
        <w:pStyle w:val="ListParagraph"/>
        <w:numPr>
          <w:ilvl w:val="0"/>
          <w:numId w:val="17"/>
        </w:numPr>
        <w:spacing w:line="360" w:lineRule="auto"/>
        <w:ind w:left="714" w:hanging="357"/>
        <w:rPr>
          <w:rStyle w:val="Hyperlink"/>
        </w:rPr>
      </w:pPr>
      <w:r>
        <w:rPr>
          <w:color w:val="0000FF"/>
          <w:u w:val="single"/>
        </w:rPr>
        <w:fldChar w:fldCharType="end"/>
      </w:r>
      <w:hyperlink w:anchor="Article2" w:history="1">
        <w:r w:rsidR="00295579" w:rsidRPr="00295579">
          <w:rPr>
            <w:rStyle w:val="Hyperlink"/>
          </w:rPr>
          <w:t>Rivaroxaban – generic availa</w:t>
        </w:r>
        <w:r w:rsidR="00295579" w:rsidRPr="00295579">
          <w:rPr>
            <w:rStyle w:val="Hyperlink"/>
          </w:rPr>
          <w:t>b</w:t>
        </w:r>
        <w:r w:rsidR="00295579" w:rsidRPr="00295579">
          <w:rPr>
            <w:rStyle w:val="Hyperlink"/>
          </w:rPr>
          <w:t xml:space="preserve">le – </w:t>
        </w:r>
        <w:r w:rsidR="006D7B47" w:rsidRPr="006D7B47">
          <w:rPr>
            <w:rStyle w:val="Hyperlink"/>
          </w:rPr>
          <w:t>All D</w:t>
        </w:r>
        <w:r w:rsidR="006D7B47" w:rsidRPr="006D7B47">
          <w:rPr>
            <w:rStyle w:val="Hyperlink"/>
          </w:rPr>
          <w:t>O</w:t>
        </w:r>
        <w:r w:rsidR="006D7B47" w:rsidRPr="006D7B47">
          <w:rPr>
            <w:rStyle w:val="Hyperlink"/>
          </w:rPr>
          <w:t>A</w:t>
        </w:r>
        <w:r w:rsidR="006D7B47" w:rsidRPr="006D7B47">
          <w:rPr>
            <w:rStyle w:val="Hyperlink"/>
          </w:rPr>
          <w:t>Cs MUST be prescribed generically</w:t>
        </w:r>
        <w:r w:rsidR="006D7B47" w:rsidRPr="006D7B47">
          <w:rPr>
            <w:rStyle w:val="Hyperlink"/>
          </w:rPr>
          <w:t xml:space="preserve"> </w:t>
        </w:r>
      </w:hyperlink>
    </w:p>
    <w:p w14:paraId="12017F7A" w14:textId="0AC13ECA" w:rsidR="00F16BBD" w:rsidRPr="00AE2D53" w:rsidRDefault="00AE2D53" w:rsidP="009A7DC7">
      <w:pPr>
        <w:pStyle w:val="ListParagraph"/>
        <w:numPr>
          <w:ilvl w:val="0"/>
          <w:numId w:val="17"/>
        </w:numPr>
        <w:spacing w:line="360" w:lineRule="auto"/>
        <w:ind w:left="714" w:hanging="357"/>
        <w:rPr>
          <w:rStyle w:val="Hyperlink"/>
        </w:rPr>
      </w:pPr>
      <w:r>
        <w:fldChar w:fldCharType="begin"/>
      </w:r>
      <w:r>
        <w:instrText>HYPERLINK  \l "Article3"</w:instrText>
      </w:r>
      <w:r>
        <w:fldChar w:fldCharType="separate"/>
      </w:r>
      <w:r w:rsidR="00B173AB" w:rsidRPr="00AE2D53">
        <w:rPr>
          <w:rStyle w:val="Hyperlink"/>
        </w:rPr>
        <w:t xml:space="preserve">Independence </w:t>
      </w:r>
      <w:r w:rsidR="00B173AB" w:rsidRPr="00AE2D53">
        <w:rPr>
          <w:rStyle w:val="Hyperlink"/>
        </w:rPr>
        <w:t>W</w:t>
      </w:r>
      <w:r w:rsidR="00B173AB" w:rsidRPr="00AE2D53">
        <w:rPr>
          <w:rStyle w:val="Hyperlink"/>
        </w:rPr>
        <w:t>ound Protection an</w:t>
      </w:r>
      <w:r w:rsidR="00B173AB" w:rsidRPr="00AE2D53">
        <w:rPr>
          <w:rStyle w:val="Hyperlink"/>
        </w:rPr>
        <w:t>d</w:t>
      </w:r>
      <w:r w:rsidR="00B173AB" w:rsidRPr="00AE2D53">
        <w:rPr>
          <w:rStyle w:val="Hyperlink"/>
        </w:rPr>
        <w:t xml:space="preserve"> Collection Pouches (VAP range) – Non formulary items</w:t>
      </w:r>
    </w:p>
    <w:p w14:paraId="7A2604FF" w14:textId="3546911C" w:rsidR="00F16BBD" w:rsidRPr="00AE2D53" w:rsidRDefault="00AE2D53" w:rsidP="009A7DC7">
      <w:pPr>
        <w:pStyle w:val="ListParagraph"/>
        <w:numPr>
          <w:ilvl w:val="0"/>
          <w:numId w:val="17"/>
        </w:numPr>
        <w:spacing w:line="360" w:lineRule="auto"/>
        <w:ind w:left="714" w:hanging="357"/>
        <w:rPr>
          <w:rStyle w:val="Hyperlink"/>
        </w:rPr>
      </w:pPr>
      <w:r>
        <w:fldChar w:fldCharType="end"/>
      </w:r>
      <w:r>
        <w:fldChar w:fldCharType="begin"/>
      </w:r>
      <w:r>
        <w:instrText>HYPERLINK  \l "Article4"</w:instrText>
      </w:r>
      <w:r>
        <w:fldChar w:fldCharType="separate"/>
      </w:r>
      <w:r w:rsidR="00B173AB" w:rsidRPr="00AE2D53">
        <w:rPr>
          <w:rStyle w:val="Hyperlink"/>
        </w:rPr>
        <w:t xml:space="preserve">Reminder </w:t>
      </w:r>
      <w:r w:rsidR="00FE1761" w:rsidRPr="00AE2D53">
        <w:rPr>
          <w:rStyle w:val="Hyperlink"/>
        </w:rPr>
        <w:t>–</w:t>
      </w:r>
      <w:r w:rsidR="00B173AB" w:rsidRPr="00AE2D53">
        <w:rPr>
          <w:rStyle w:val="Hyperlink"/>
        </w:rPr>
        <w:t xml:space="preserve"> </w:t>
      </w:r>
      <w:r w:rsidR="00FE1761" w:rsidRPr="00AE2D53">
        <w:rPr>
          <w:rStyle w:val="Hyperlink"/>
        </w:rPr>
        <w:t xml:space="preserve">Kent and Medway ICB </w:t>
      </w:r>
      <w:proofErr w:type="spellStart"/>
      <w:r w:rsidR="00B173AB" w:rsidRPr="00AE2D53">
        <w:rPr>
          <w:rStyle w:val="Hyperlink"/>
        </w:rPr>
        <w:t>F</w:t>
      </w:r>
      <w:r w:rsidR="00B173AB" w:rsidRPr="00AE2D53">
        <w:rPr>
          <w:rStyle w:val="Hyperlink"/>
        </w:rPr>
        <w:t>o</w:t>
      </w:r>
      <w:r w:rsidR="00B173AB" w:rsidRPr="00AE2D53">
        <w:rPr>
          <w:rStyle w:val="Hyperlink"/>
        </w:rPr>
        <w:t>rceval</w:t>
      </w:r>
      <w:proofErr w:type="spellEnd"/>
      <w:r w:rsidR="00B173AB" w:rsidRPr="00AE2D53">
        <w:rPr>
          <w:rStyle w:val="Hyperlink"/>
        </w:rPr>
        <w:t>® capsules</w:t>
      </w:r>
      <w:r w:rsidR="00FE1761" w:rsidRPr="00AE2D53">
        <w:rPr>
          <w:rStyle w:val="Hyperlink"/>
        </w:rPr>
        <w:t xml:space="preserve"> Position Statement </w:t>
      </w:r>
      <w:r w:rsidR="00B173AB" w:rsidRPr="00AE2D53">
        <w:rPr>
          <w:rStyle w:val="Hyperlink"/>
        </w:rPr>
        <w:t xml:space="preserve">  </w:t>
      </w:r>
    </w:p>
    <w:bookmarkStart w:id="0" w:name="_Hlk169688800"/>
    <w:p w14:paraId="2153B7D4" w14:textId="71928576" w:rsidR="00F16BBD" w:rsidRDefault="00AE2D53" w:rsidP="00B173AB">
      <w:pPr>
        <w:pStyle w:val="ListParagraph"/>
        <w:numPr>
          <w:ilvl w:val="0"/>
          <w:numId w:val="17"/>
        </w:numPr>
        <w:spacing w:line="360" w:lineRule="auto"/>
        <w:ind w:left="714" w:hanging="357"/>
        <w:rPr>
          <w:rStyle w:val="Hyperlink"/>
        </w:rPr>
      </w:pPr>
      <w:r>
        <w:fldChar w:fldCharType="end"/>
      </w:r>
      <w:hyperlink w:anchor="Article5" w:history="1">
        <w:r w:rsidR="00FE1761">
          <w:rPr>
            <w:rStyle w:val="Hyperlink"/>
          </w:rPr>
          <w:t xml:space="preserve">Opioids- </w:t>
        </w:r>
        <w:r w:rsidR="00B173AB" w:rsidRPr="002746E2">
          <w:rPr>
            <w:rStyle w:val="Hyperlink"/>
          </w:rPr>
          <w:t xml:space="preserve">Safer </w:t>
        </w:r>
        <w:r w:rsidR="00B173AB" w:rsidRPr="002746E2">
          <w:rPr>
            <w:rStyle w:val="Hyperlink"/>
          </w:rPr>
          <w:t>P</w:t>
        </w:r>
        <w:r w:rsidR="00B173AB" w:rsidRPr="002746E2">
          <w:rPr>
            <w:rStyle w:val="Hyperlink"/>
          </w:rPr>
          <w:t>rescribing and Prefe</w:t>
        </w:r>
        <w:r w:rsidR="00B173AB" w:rsidRPr="002746E2">
          <w:rPr>
            <w:rStyle w:val="Hyperlink"/>
          </w:rPr>
          <w:t>r</w:t>
        </w:r>
        <w:r w:rsidR="00B173AB" w:rsidRPr="002746E2">
          <w:rPr>
            <w:rStyle w:val="Hyperlink"/>
          </w:rPr>
          <w:t>red Cost-effective Brands. Information for General Practice</w:t>
        </w:r>
        <w:bookmarkEnd w:id="0"/>
      </w:hyperlink>
    </w:p>
    <w:p w14:paraId="077377D8" w14:textId="16DDE1A5" w:rsidR="00F16BBD" w:rsidRPr="00AE2D53" w:rsidRDefault="00AE2D53" w:rsidP="009A7DC7">
      <w:pPr>
        <w:pStyle w:val="ListParagraph"/>
        <w:numPr>
          <w:ilvl w:val="0"/>
          <w:numId w:val="17"/>
        </w:numPr>
        <w:spacing w:line="360" w:lineRule="auto"/>
        <w:ind w:left="714" w:hanging="357"/>
        <w:rPr>
          <w:rStyle w:val="Hyperlink"/>
        </w:rPr>
      </w:pPr>
      <w:r>
        <w:fldChar w:fldCharType="begin"/>
      </w:r>
      <w:r>
        <w:instrText>HYPERLINK  \l "Article6"</w:instrText>
      </w:r>
      <w:r>
        <w:fldChar w:fldCharType="separate"/>
      </w:r>
      <w:r w:rsidR="00F16BBD" w:rsidRPr="00AE2D53">
        <w:rPr>
          <w:rStyle w:val="Hyperlink"/>
        </w:rPr>
        <w:t>MHRA Drug Saf</w:t>
      </w:r>
      <w:r w:rsidR="00F16BBD" w:rsidRPr="00AE2D53">
        <w:rPr>
          <w:rStyle w:val="Hyperlink"/>
        </w:rPr>
        <w:t>e</w:t>
      </w:r>
      <w:r w:rsidR="00F16BBD" w:rsidRPr="00AE2D53">
        <w:rPr>
          <w:rStyle w:val="Hyperlink"/>
        </w:rPr>
        <w:t xml:space="preserve">ty Update – </w:t>
      </w:r>
      <w:r w:rsidR="00B173AB" w:rsidRPr="00AE2D53">
        <w:rPr>
          <w:rStyle w:val="Hyperlink"/>
        </w:rPr>
        <w:t>Octob</w:t>
      </w:r>
      <w:r w:rsidR="00B173AB" w:rsidRPr="00AE2D53">
        <w:rPr>
          <w:rStyle w:val="Hyperlink"/>
        </w:rPr>
        <w:t>e</w:t>
      </w:r>
      <w:r w:rsidR="00B173AB" w:rsidRPr="00AE2D53">
        <w:rPr>
          <w:rStyle w:val="Hyperlink"/>
        </w:rPr>
        <w:t>r</w:t>
      </w:r>
      <w:r w:rsidR="00F16BBD" w:rsidRPr="00AE2D53">
        <w:rPr>
          <w:rStyle w:val="Hyperlink"/>
        </w:rPr>
        <w:t xml:space="preserve"> 2024</w:t>
      </w:r>
    </w:p>
    <w:p w14:paraId="5ADF3E0F" w14:textId="4C494C12" w:rsidR="00F16BBD" w:rsidRPr="00AE2D53" w:rsidRDefault="00AE2D53" w:rsidP="009A7DC7">
      <w:pPr>
        <w:pStyle w:val="ListParagraph"/>
        <w:numPr>
          <w:ilvl w:val="0"/>
          <w:numId w:val="17"/>
        </w:numPr>
        <w:spacing w:line="360" w:lineRule="auto"/>
        <w:ind w:left="714" w:hanging="357"/>
        <w:rPr>
          <w:rStyle w:val="Hyperlink"/>
        </w:rPr>
      </w:pPr>
      <w:r>
        <w:fldChar w:fldCharType="end"/>
      </w:r>
      <w:r>
        <w:fldChar w:fldCharType="begin"/>
      </w:r>
      <w:r>
        <w:instrText>HYPERLINK  \l "Article7"</w:instrText>
      </w:r>
      <w:r>
        <w:fldChar w:fldCharType="separate"/>
      </w:r>
      <w:r w:rsidR="00F16BBD" w:rsidRPr="00AE2D53">
        <w:rPr>
          <w:rStyle w:val="Hyperlink"/>
        </w:rPr>
        <w:t>Shortages Summa</w:t>
      </w:r>
      <w:r w:rsidR="00F16BBD" w:rsidRPr="00AE2D53">
        <w:rPr>
          <w:rStyle w:val="Hyperlink"/>
        </w:rPr>
        <w:t>r</w:t>
      </w:r>
      <w:r w:rsidR="00F16BBD" w:rsidRPr="00AE2D53">
        <w:rPr>
          <w:rStyle w:val="Hyperlink"/>
        </w:rPr>
        <w:t>y</w:t>
      </w:r>
    </w:p>
    <w:p w14:paraId="50BAA600" w14:textId="2964DB37" w:rsidR="002631E0" w:rsidRDefault="00AE2D53" w:rsidP="009A7DC7">
      <w:pPr>
        <w:pStyle w:val="ListParagraph"/>
        <w:numPr>
          <w:ilvl w:val="0"/>
          <w:numId w:val="17"/>
        </w:numPr>
        <w:spacing w:line="360" w:lineRule="auto"/>
        <w:ind w:left="714" w:hanging="357"/>
        <w:rPr>
          <w:rStyle w:val="Hyperlink"/>
        </w:rPr>
      </w:pPr>
      <w:r>
        <w:fldChar w:fldCharType="end"/>
      </w:r>
      <w:hyperlink w:anchor="Article8" w:history="1">
        <w:r w:rsidR="002631E0" w:rsidRPr="00AE2D53">
          <w:rPr>
            <w:rStyle w:val="Hyperlink"/>
          </w:rPr>
          <w:t>Discontinuat</w:t>
        </w:r>
        <w:r w:rsidR="002631E0" w:rsidRPr="00AE2D53">
          <w:rPr>
            <w:rStyle w:val="Hyperlink"/>
          </w:rPr>
          <w:t>i</w:t>
        </w:r>
        <w:r w:rsidR="002631E0" w:rsidRPr="00AE2D53">
          <w:rPr>
            <w:rStyle w:val="Hyperlink"/>
          </w:rPr>
          <w:t xml:space="preserve">on </w:t>
        </w:r>
        <w:proofErr w:type="spellStart"/>
        <w:r w:rsidR="002631E0" w:rsidRPr="00AE2D53">
          <w:rPr>
            <w:rStyle w:val="Hyperlink"/>
          </w:rPr>
          <w:t>N</w:t>
        </w:r>
        <w:r w:rsidR="002631E0" w:rsidRPr="00AE2D53">
          <w:rPr>
            <w:rStyle w:val="Hyperlink"/>
          </w:rPr>
          <w:t>ovoRapid</w:t>
        </w:r>
        <w:proofErr w:type="spellEnd"/>
        <w:r w:rsidR="002631E0" w:rsidRPr="00AE2D53">
          <w:rPr>
            <w:rStyle w:val="Hyperlink"/>
          </w:rPr>
          <w:t xml:space="preserve">® (insulin </w:t>
        </w:r>
        <w:proofErr w:type="spellStart"/>
        <w:r w:rsidR="002631E0" w:rsidRPr="00AE2D53">
          <w:rPr>
            <w:rStyle w:val="Hyperlink"/>
          </w:rPr>
          <w:t>aspar</w:t>
        </w:r>
        <w:r w:rsidR="002631E0" w:rsidRPr="00AE2D53">
          <w:rPr>
            <w:rStyle w:val="Hyperlink"/>
          </w:rPr>
          <w:t>t</w:t>
        </w:r>
        <w:proofErr w:type="spellEnd"/>
        <w:r w:rsidR="002631E0" w:rsidRPr="00AE2D53">
          <w:rPr>
            <w:rStyle w:val="Hyperlink"/>
          </w:rPr>
          <w:t>) FlexTouch® 100units/ml solution for injection 3ml pre-filled pens</w:t>
        </w:r>
      </w:hyperlink>
    </w:p>
    <w:bookmarkStart w:id="1" w:name="_Hlk182857711"/>
    <w:p w14:paraId="34297B1E" w14:textId="044B3BC0" w:rsidR="003417BE" w:rsidRPr="00AE2D53" w:rsidRDefault="00AE2D53" w:rsidP="003417BE">
      <w:pPr>
        <w:pStyle w:val="ListParagraph"/>
        <w:numPr>
          <w:ilvl w:val="0"/>
          <w:numId w:val="17"/>
        </w:numPr>
        <w:spacing w:line="360" w:lineRule="auto"/>
        <w:ind w:left="714" w:hanging="357"/>
        <w:rPr>
          <w:rStyle w:val="Hyperlink"/>
        </w:rPr>
      </w:pPr>
      <w:r>
        <w:fldChar w:fldCharType="begin"/>
      </w:r>
      <w:r>
        <w:instrText>HYPERLINK  \l "article9"</w:instrText>
      </w:r>
      <w:r>
        <w:fldChar w:fldCharType="separate"/>
      </w:r>
      <w:r w:rsidR="003417BE" w:rsidRPr="00AE2D53">
        <w:rPr>
          <w:rStyle w:val="Hyperlink"/>
        </w:rPr>
        <w:t>Reminder for East Kent Practices – O</w:t>
      </w:r>
      <w:r w:rsidR="003417BE" w:rsidRPr="00AE2D53">
        <w:rPr>
          <w:rStyle w:val="Hyperlink"/>
        </w:rPr>
        <w:t>r</w:t>
      </w:r>
      <w:r w:rsidR="003417BE" w:rsidRPr="00AE2D53">
        <w:rPr>
          <w:rStyle w:val="Hyperlink"/>
        </w:rPr>
        <w:t xml:space="preserve">al Morphine Prescribing Resources </w:t>
      </w:r>
    </w:p>
    <w:bookmarkEnd w:id="1"/>
    <w:p w14:paraId="28A2F2F0" w14:textId="2EFFE85D" w:rsidR="007F7BE0" w:rsidRPr="007F7BE0" w:rsidRDefault="00AE2D53" w:rsidP="007F7BE0">
      <w:pPr>
        <w:pStyle w:val="ListParagraph"/>
        <w:spacing w:line="360" w:lineRule="auto"/>
        <w:ind w:left="714"/>
      </w:pPr>
      <w:r>
        <w:fldChar w:fldCharType="end"/>
      </w:r>
    </w:p>
    <w:p w14:paraId="49E43E1A" w14:textId="0D59A371" w:rsidR="00E4129D" w:rsidRDefault="009A7DC7" w:rsidP="00676C0E">
      <w:r>
        <w:rPr>
          <w:noProof/>
        </w:rPr>
        <w:drawing>
          <wp:inline distT="0" distB="0" distL="0" distR="0" wp14:anchorId="5778D026" wp14:editId="0D263205">
            <wp:extent cx="6763385" cy="400050"/>
            <wp:effectExtent l="0" t="0" r="0" b="0"/>
            <wp:docPr id="795672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3385" cy="400050"/>
                    </a:xfrm>
                    <a:prstGeom prst="rect">
                      <a:avLst/>
                    </a:prstGeom>
                    <a:noFill/>
                  </pic:spPr>
                </pic:pic>
              </a:graphicData>
            </a:graphic>
          </wp:inline>
        </w:drawing>
      </w:r>
    </w:p>
    <w:p w14:paraId="2E5B0717" w14:textId="366C0413" w:rsidR="000D3761" w:rsidRPr="001D6D48" w:rsidRDefault="003D5DEF" w:rsidP="000D3761">
      <w:pPr>
        <w:shd w:val="clear" w:color="auto" w:fill="E5DFEC" w:themeFill="accent4" w:themeFillTint="33"/>
        <w:ind w:left="426"/>
        <w:rPr>
          <w:b/>
          <w:bCs/>
        </w:rPr>
      </w:pPr>
      <w:bookmarkStart w:id="2" w:name="article10"/>
      <w:bookmarkStart w:id="3" w:name="_Hlk169879733"/>
      <w:bookmarkStart w:id="4" w:name="Article1"/>
      <w:bookmarkEnd w:id="2"/>
      <w:bookmarkEnd w:id="4"/>
      <w:r w:rsidRPr="003D5DEF">
        <w:rPr>
          <w:b/>
          <w:bCs/>
        </w:rPr>
        <w:t>Kent and Medway ICB Pain Services Community of Practice Webinar</w:t>
      </w:r>
    </w:p>
    <w:bookmarkEnd w:id="3"/>
    <w:p w14:paraId="3E4693F0" w14:textId="77777777" w:rsidR="000D3761" w:rsidRDefault="000D3761" w:rsidP="000D3761"/>
    <w:p w14:paraId="3F2C3A9A" w14:textId="77777777" w:rsidR="003D5DEF" w:rsidRDefault="003D5DEF" w:rsidP="003D5DEF">
      <w:pPr>
        <w:spacing w:line="360" w:lineRule="auto"/>
        <w:ind w:left="426"/>
        <w:rPr>
          <w:b/>
          <w:bCs/>
        </w:rPr>
      </w:pPr>
      <w:r>
        <w:t xml:space="preserve">The Kent, Surrey and Sussex Patient Safety Collaborative, and Medway and Swale Health and Care Partnership invite you to attend a pain services community of practice designed to support clinicians to reduce harm from dependence forming medicines within their practice place on </w:t>
      </w:r>
      <w:r w:rsidRPr="002746E2">
        <w:rPr>
          <w:b/>
          <w:bCs/>
        </w:rPr>
        <w:t>Thursday the 28th of November from 2:30 pm - 4:00 pm.</w:t>
      </w:r>
    </w:p>
    <w:p w14:paraId="73EC1782" w14:textId="77777777" w:rsidR="00834AA6" w:rsidRPr="002746E2" w:rsidRDefault="00834AA6" w:rsidP="003D5DEF">
      <w:pPr>
        <w:spacing w:line="360" w:lineRule="auto"/>
        <w:ind w:left="426"/>
        <w:rPr>
          <w:b/>
          <w:bCs/>
        </w:rPr>
      </w:pPr>
    </w:p>
    <w:p w14:paraId="1ED0F91E" w14:textId="77777777" w:rsidR="003D5DEF" w:rsidRDefault="003D5DEF" w:rsidP="003D5DEF">
      <w:pPr>
        <w:spacing w:line="360" w:lineRule="auto"/>
        <w:ind w:left="426"/>
      </w:pPr>
      <w:r>
        <w:t>This online webinar will feature presentations from colleagues working within the health and justice sector to share learning, inform best practice and generate thought-provoking discussion.</w:t>
      </w:r>
    </w:p>
    <w:p w14:paraId="51F1BF33" w14:textId="4E3A7C43" w:rsidR="003D5DEF" w:rsidRDefault="0096279E" w:rsidP="003D5DEF">
      <w:pPr>
        <w:spacing w:line="360" w:lineRule="auto"/>
        <w:ind w:left="426"/>
      </w:pPr>
      <w:hyperlink r:id="rId15" w:history="1">
        <w:r w:rsidR="000E42D2" w:rsidRPr="00006DC3">
          <w:rPr>
            <w:rStyle w:val="Hyperlink"/>
          </w:rPr>
          <w:t>https://www.eventbrite.co.uk/e/medway-and-swale-hcp-pain-services-community-of-practice-webinar-tickets-1067247980439</w:t>
        </w:r>
      </w:hyperlink>
    </w:p>
    <w:p w14:paraId="187C20C2" w14:textId="77777777" w:rsidR="000E42D2" w:rsidRDefault="000E42D2" w:rsidP="003D5DEF">
      <w:pPr>
        <w:spacing w:line="360" w:lineRule="auto"/>
        <w:ind w:left="426"/>
      </w:pPr>
    </w:p>
    <w:p w14:paraId="752BC941" w14:textId="681137B6" w:rsidR="000D3761" w:rsidRDefault="003D5DEF" w:rsidP="003D5DEF">
      <w:pPr>
        <w:spacing w:line="360" w:lineRule="auto"/>
        <w:ind w:left="426"/>
      </w:pPr>
      <w:r>
        <w:t>Please feel free to share the registration link with others in your network who may have an interest in this area. We look forward to seeing you on Thursday the 28th of November from 2:30 pm - 4:00 pm.</w:t>
      </w:r>
      <w:r w:rsidR="000D3761">
        <w:t xml:space="preserve"> </w:t>
      </w:r>
    </w:p>
    <w:p w14:paraId="2224AE45" w14:textId="479420F4" w:rsidR="009E73B5" w:rsidRPr="000D3761" w:rsidRDefault="009E73B5" w:rsidP="009E73B5">
      <w:pPr>
        <w:spacing w:line="360" w:lineRule="auto"/>
        <w:ind w:left="426"/>
      </w:pPr>
    </w:p>
    <w:p w14:paraId="531296B1" w14:textId="77777777" w:rsidR="009A7DC7" w:rsidRDefault="009A7DC7" w:rsidP="00676C0E"/>
    <w:p w14:paraId="4427F0DF" w14:textId="0D56B1BD" w:rsidR="00B173AB" w:rsidRPr="001D6D48" w:rsidRDefault="000E42D2" w:rsidP="00B173AB">
      <w:pPr>
        <w:shd w:val="clear" w:color="auto" w:fill="E5DFEC" w:themeFill="accent4" w:themeFillTint="33"/>
        <w:ind w:left="426"/>
        <w:rPr>
          <w:b/>
          <w:bCs/>
        </w:rPr>
      </w:pPr>
      <w:bookmarkStart w:id="5" w:name="_Hlk169879029"/>
      <w:bookmarkStart w:id="6" w:name="_Hlk169686824"/>
      <w:bookmarkStart w:id="7" w:name="Article2"/>
      <w:bookmarkEnd w:id="7"/>
      <w:r w:rsidRPr="000E42D2">
        <w:rPr>
          <w:b/>
          <w:bCs/>
        </w:rPr>
        <w:t xml:space="preserve">Rivaroxaban – generic available – </w:t>
      </w:r>
      <w:bookmarkStart w:id="8" w:name="_Hlk183008685"/>
      <w:r w:rsidR="006D7B47" w:rsidRPr="006D7B47">
        <w:rPr>
          <w:b/>
          <w:bCs/>
        </w:rPr>
        <w:t>All DOACs MUST be prescribed generically</w:t>
      </w:r>
      <w:bookmarkEnd w:id="8"/>
    </w:p>
    <w:bookmarkEnd w:id="6"/>
    <w:p w14:paraId="597AA818" w14:textId="77777777" w:rsidR="007F7BE0" w:rsidRDefault="007F7BE0" w:rsidP="007F7BE0">
      <w:pPr>
        <w:rPr>
          <w:rFonts w:asciiTheme="minorHAnsi" w:eastAsia="Aptos" w:hAnsiTheme="minorHAnsi" w:cstheme="minorHAnsi"/>
          <w:kern w:val="2"/>
          <w:lang w:eastAsia="en-US"/>
          <w14:ligatures w14:val="standardContextual"/>
        </w:rPr>
      </w:pPr>
    </w:p>
    <w:p w14:paraId="15D77341" w14:textId="518E41AF" w:rsidR="000E42D2" w:rsidRDefault="000E42D2" w:rsidP="007F7BE0">
      <w:pPr>
        <w:spacing w:line="360" w:lineRule="auto"/>
        <w:ind w:left="425"/>
        <w:rPr>
          <w:rFonts w:asciiTheme="minorHAnsi" w:eastAsia="Aptos" w:hAnsiTheme="minorHAnsi" w:cstheme="minorHAnsi"/>
          <w:kern w:val="2"/>
          <w:lang w:eastAsia="en-US"/>
          <w14:ligatures w14:val="standardContextual"/>
        </w:rPr>
      </w:pPr>
      <w:r w:rsidRPr="000E42D2">
        <w:rPr>
          <w:rFonts w:asciiTheme="minorHAnsi" w:eastAsia="Aptos" w:hAnsiTheme="minorHAnsi" w:cstheme="minorHAnsi"/>
          <w:kern w:val="2"/>
          <w:lang w:eastAsia="en-US"/>
          <w14:ligatures w14:val="standardContextual"/>
        </w:rPr>
        <w:t>Generic Rivaroxaban is now available and in the Drug Tariff. Please prescribe it generically.</w:t>
      </w:r>
    </w:p>
    <w:p w14:paraId="056D3C24" w14:textId="77777777" w:rsidR="000E42D2" w:rsidRPr="000E42D2" w:rsidRDefault="000E42D2" w:rsidP="007F7BE0">
      <w:pPr>
        <w:spacing w:after="160" w:line="360" w:lineRule="auto"/>
        <w:ind w:left="425"/>
        <w:rPr>
          <w:rFonts w:asciiTheme="minorHAnsi" w:eastAsia="Aptos" w:hAnsiTheme="minorHAnsi" w:cstheme="minorHAnsi"/>
          <w:i/>
          <w:iCs/>
          <w:kern w:val="2"/>
          <w:lang w:eastAsia="en-US"/>
          <w14:ligatures w14:val="standardContextual"/>
        </w:rPr>
      </w:pPr>
      <w:r w:rsidRPr="000E42D2">
        <w:rPr>
          <w:rFonts w:asciiTheme="minorHAnsi" w:eastAsia="Aptos" w:hAnsiTheme="minorHAnsi" w:cstheme="minorHAnsi"/>
          <w:kern w:val="2"/>
          <w:lang w:eastAsia="en-US"/>
          <w14:ligatures w14:val="standardContextual"/>
        </w:rPr>
        <w:t xml:space="preserve">NHS England have updated their DOAC commissioning recommendations </w:t>
      </w:r>
      <w:r w:rsidRPr="000E42D2">
        <w:rPr>
          <w:rFonts w:asciiTheme="minorHAnsi" w:eastAsia="Aptos" w:hAnsiTheme="minorHAnsi" w:cstheme="minorHAnsi"/>
          <w:i/>
          <w:iCs/>
          <w:kern w:val="2"/>
          <w:lang w:eastAsia="en-US"/>
          <w14:ligatures w14:val="standardContextual"/>
        </w:rPr>
        <w:t> </w:t>
      </w:r>
      <w:hyperlink r:id="rId16" w:tgtFrame="_blank" w:history="1">
        <w:r w:rsidRPr="000E42D2">
          <w:rPr>
            <w:rFonts w:asciiTheme="minorHAnsi" w:eastAsia="Aptos" w:hAnsiTheme="minorHAnsi" w:cstheme="minorHAnsi"/>
            <w:b/>
            <w:bCs/>
            <w:i/>
            <w:iCs/>
            <w:color w:val="467886"/>
            <w:kern w:val="2"/>
            <w:u w:val="single"/>
            <w:lang w:eastAsia="en-US"/>
            <w14:ligatures w14:val="standardContextual"/>
          </w:rPr>
          <w:t>Commissioning recommendations for national procurement for direct-acting oral anticoagulant(s) (DOACs)</w:t>
        </w:r>
      </w:hyperlink>
      <w:r w:rsidRPr="000E42D2">
        <w:rPr>
          <w:rFonts w:asciiTheme="minorHAnsi" w:eastAsia="Aptos" w:hAnsiTheme="minorHAnsi" w:cstheme="minorHAnsi"/>
          <w:i/>
          <w:iCs/>
          <w:kern w:val="2"/>
          <w:lang w:eastAsia="en-US"/>
          <w14:ligatures w14:val="standardContextual"/>
        </w:rPr>
        <w:t> on the 6th of September 2024.</w:t>
      </w:r>
    </w:p>
    <w:p w14:paraId="03D5A542" w14:textId="1B23E2D1" w:rsidR="009A7DC7" w:rsidRDefault="000E42D2" w:rsidP="000E42D2">
      <w:pPr>
        <w:spacing w:after="160" w:line="360" w:lineRule="auto"/>
        <w:ind w:left="425"/>
        <w:rPr>
          <w:rFonts w:asciiTheme="minorHAnsi" w:eastAsia="Aptos" w:hAnsiTheme="minorHAnsi" w:cstheme="minorHAnsi"/>
          <w:kern w:val="2"/>
          <w:lang w:eastAsia="en-US"/>
          <w14:ligatures w14:val="standardContextual"/>
        </w:rPr>
      </w:pPr>
      <w:r w:rsidRPr="000E42D2">
        <w:rPr>
          <w:rFonts w:asciiTheme="minorHAnsi" w:eastAsia="Aptos" w:hAnsiTheme="minorHAnsi" w:cstheme="minorHAnsi"/>
          <w:kern w:val="2"/>
          <w:lang w:eastAsia="en-US"/>
          <w14:ligatures w14:val="standardContextual"/>
        </w:rPr>
        <w:t>The Kent and Medway position statement document will be reviewed ASAP, via the normal ICB governance process, to reflect the current NHSE recommendations.</w:t>
      </w:r>
      <w:bookmarkEnd w:id="5"/>
    </w:p>
    <w:p w14:paraId="137FC959" w14:textId="77777777" w:rsidR="00793688" w:rsidRPr="00793688" w:rsidRDefault="00793688" w:rsidP="00793688">
      <w:pPr>
        <w:spacing w:after="160"/>
        <w:ind w:left="425"/>
        <w:rPr>
          <w:rFonts w:asciiTheme="minorHAnsi" w:eastAsia="Aptos" w:hAnsiTheme="minorHAnsi" w:cstheme="minorHAnsi"/>
          <w:kern w:val="2"/>
          <w:u w:val="single"/>
          <w:lang w:eastAsia="en-US"/>
          <w14:ligatures w14:val="standardContextual"/>
        </w:rPr>
      </w:pPr>
      <w:r w:rsidRPr="00793688">
        <w:rPr>
          <w:rFonts w:asciiTheme="minorHAnsi" w:eastAsia="Aptos" w:hAnsiTheme="minorHAnsi" w:cstheme="minorHAnsi"/>
          <w:kern w:val="2"/>
          <w:u w:val="single"/>
          <w:lang w:eastAsia="en-US"/>
          <w14:ligatures w14:val="standardContextual"/>
        </w:rPr>
        <w:t>Apixaban</w:t>
      </w:r>
    </w:p>
    <w:p w14:paraId="25525B8E" w14:textId="2BCDDC0E" w:rsidR="009A7DC7" w:rsidRPr="00793688" w:rsidRDefault="00793688" w:rsidP="00793688">
      <w:pPr>
        <w:spacing w:after="160"/>
        <w:ind w:left="425"/>
        <w:rPr>
          <w:rFonts w:asciiTheme="minorHAnsi" w:eastAsia="Aptos" w:hAnsiTheme="minorHAnsi" w:cstheme="minorHAnsi"/>
          <w:kern w:val="2"/>
          <w:lang w:eastAsia="en-US"/>
          <w14:ligatures w14:val="standardContextual"/>
        </w:rPr>
      </w:pPr>
      <w:r>
        <w:t>Please also</w:t>
      </w:r>
      <w:r w:rsidRPr="00793688">
        <w:t xml:space="preserve"> note that Apixaban is off patent and can also be prescribed generically</w:t>
      </w:r>
      <w:r>
        <w:t>.</w:t>
      </w:r>
    </w:p>
    <w:p w14:paraId="4DE1EB9A" w14:textId="77777777" w:rsidR="00F16BBD" w:rsidRDefault="00F16BBD" w:rsidP="008D1F21">
      <w:pPr>
        <w:ind w:left="426"/>
      </w:pPr>
    </w:p>
    <w:p w14:paraId="47783BC6" w14:textId="73985320" w:rsidR="00B173AB" w:rsidRPr="001D6D48" w:rsidRDefault="000E42D2" w:rsidP="00B173AB">
      <w:pPr>
        <w:shd w:val="clear" w:color="auto" w:fill="E5DFEC" w:themeFill="accent4" w:themeFillTint="33"/>
        <w:ind w:left="426"/>
        <w:rPr>
          <w:b/>
          <w:bCs/>
        </w:rPr>
      </w:pPr>
      <w:bookmarkStart w:id="9" w:name="Article3"/>
      <w:bookmarkEnd w:id="9"/>
      <w:r w:rsidRPr="000E42D2">
        <w:rPr>
          <w:b/>
          <w:bCs/>
        </w:rPr>
        <w:t>Independence Wound Protection and Collection Pouches (VAP range) – Non formulary items</w:t>
      </w:r>
    </w:p>
    <w:p w14:paraId="09B012B3" w14:textId="77777777" w:rsidR="00E13239" w:rsidRDefault="00E13239" w:rsidP="006804C3">
      <w:pPr>
        <w:ind w:left="426"/>
        <w:rPr>
          <w:b/>
          <w:bCs/>
          <w:u w:val="single"/>
        </w:rPr>
      </w:pPr>
      <w:bookmarkStart w:id="10" w:name="_Hlk136958154"/>
    </w:p>
    <w:bookmarkEnd w:id="10"/>
    <w:p w14:paraId="3C14EF1A" w14:textId="77777777" w:rsidR="00324DA6" w:rsidRPr="00324DA6" w:rsidRDefault="00324DA6" w:rsidP="00AE2D53">
      <w:pPr>
        <w:spacing w:line="360" w:lineRule="auto"/>
        <w:ind w:left="426"/>
      </w:pPr>
      <w:r w:rsidRPr="00324DA6">
        <w:t xml:space="preserve">Items within this product range are </w:t>
      </w:r>
      <w:r w:rsidRPr="00324DA6">
        <w:rPr>
          <w:b/>
          <w:bCs/>
        </w:rPr>
        <w:t>not recommended</w:t>
      </w:r>
      <w:r w:rsidRPr="00324DA6">
        <w:t xml:space="preserve"> for prescribing in primary care and therefore have not been assessed for formulary inclusion in Kent and Medway:</w:t>
      </w:r>
    </w:p>
    <w:p w14:paraId="0A25906A" w14:textId="77777777" w:rsidR="00324DA6" w:rsidRPr="00324DA6" w:rsidRDefault="00324DA6" w:rsidP="00AE2D53">
      <w:pPr>
        <w:numPr>
          <w:ilvl w:val="0"/>
          <w:numId w:val="21"/>
        </w:numPr>
        <w:spacing w:line="360" w:lineRule="auto"/>
        <w:ind w:left="1506"/>
      </w:pPr>
      <w:r w:rsidRPr="00324DA6">
        <w:t>Independence wound drainage bag with extra dressing (VAP1)</w:t>
      </w:r>
    </w:p>
    <w:p w14:paraId="5E21EF6C" w14:textId="77777777" w:rsidR="00324DA6" w:rsidRPr="00324DA6" w:rsidRDefault="00324DA6" w:rsidP="00AE2D53">
      <w:pPr>
        <w:numPr>
          <w:ilvl w:val="0"/>
          <w:numId w:val="21"/>
        </w:numPr>
        <w:spacing w:line="360" w:lineRule="auto"/>
        <w:ind w:left="1506"/>
      </w:pPr>
      <w:r w:rsidRPr="00324DA6">
        <w:t xml:space="preserve">Independence </w:t>
      </w:r>
      <w:proofErr w:type="spellStart"/>
      <w:r w:rsidRPr="00324DA6">
        <w:t>Xtra</w:t>
      </w:r>
      <w:proofErr w:type="spellEnd"/>
      <w:r w:rsidRPr="00324DA6">
        <w:t xml:space="preserve"> large wound drainage bag with extra dressing (VAP2)</w:t>
      </w:r>
    </w:p>
    <w:p w14:paraId="56EAF5EC" w14:textId="77777777" w:rsidR="00324DA6" w:rsidRPr="00324DA6" w:rsidRDefault="00324DA6" w:rsidP="00AE2D53">
      <w:pPr>
        <w:numPr>
          <w:ilvl w:val="0"/>
          <w:numId w:val="21"/>
        </w:numPr>
        <w:spacing w:line="360" w:lineRule="auto"/>
        <w:ind w:left="1506"/>
      </w:pPr>
      <w:r w:rsidRPr="00324DA6">
        <w:t>Independence small wound drainage bag with extra dressing (VAP3)</w:t>
      </w:r>
    </w:p>
    <w:p w14:paraId="0EE949F6" w14:textId="77777777" w:rsidR="00324DA6" w:rsidRPr="00324DA6" w:rsidRDefault="00324DA6" w:rsidP="00AE2D53">
      <w:pPr>
        <w:numPr>
          <w:ilvl w:val="0"/>
          <w:numId w:val="21"/>
        </w:numPr>
        <w:spacing w:line="360" w:lineRule="auto"/>
        <w:ind w:left="1506"/>
      </w:pPr>
      <w:r w:rsidRPr="00324DA6">
        <w:t>Independence Easy Access wound drainage bag (EA1)</w:t>
      </w:r>
    </w:p>
    <w:p w14:paraId="26C71313" w14:textId="77777777" w:rsidR="00324DA6" w:rsidRPr="00324DA6" w:rsidRDefault="00324DA6" w:rsidP="00AE2D53">
      <w:pPr>
        <w:numPr>
          <w:ilvl w:val="0"/>
          <w:numId w:val="21"/>
        </w:numPr>
        <w:spacing w:line="360" w:lineRule="auto"/>
        <w:ind w:left="1506"/>
      </w:pPr>
      <w:r w:rsidRPr="00324DA6">
        <w:t>Independence Extra Sticky wound drainage bag (EA2)</w:t>
      </w:r>
    </w:p>
    <w:p w14:paraId="3E3375ED" w14:textId="77777777" w:rsidR="00324DA6" w:rsidRDefault="00324DA6" w:rsidP="00AE2D53">
      <w:pPr>
        <w:spacing w:line="360" w:lineRule="auto"/>
        <w:ind w:left="426"/>
      </w:pPr>
      <w:r w:rsidRPr="00324DA6">
        <w:t xml:space="preserve">These products are designed for haemodialysis patients with a central venous catheter to protect the catheter insertion site and surrounding dressing during bathing or swimming </w:t>
      </w:r>
      <w:proofErr w:type="gramStart"/>
      <w:r w:rsidRPr="00324DA6">
        <w:t>in order to</w:t>
      </w:r>
      <w:proofErr w:type="gramEnd"/>
      <w:r w:rsidRPr="00324DA6">
        <w:t xml:space="preserve"> reduce the risk of infection.</w:t>
      </w:r>
    </w:p>
    <w:p w14:paraId="46B60817" w14:textId="77777777" w:rsidR="00324DA6" w:rsidRPr="00324DA6" w:rsidRDefault="00324DA6" w:rsidP="00324DA6">
      <w:pPr>
        <w:spacing w:line="360" w:lineRule="auto"/>
        <w:ind w:left="720"/>
        <w:rPr>
          <w:u w:val="single"/>
        </w:rPr>
      </w:pPr>
    </w:p>
    <w:p w14:paraId="573FDD83" w14:textId="77777777" w:rsidR="00324DA6" w:rsidRPr="00324DA6" w:rsidRDefault="00324DA6" w:rsidP="007F7BE0">
      <w:pPr>
        <w:spacing w:line="360" w:lineRule="auto"/>
        <w:ind w:left="426"/>
        <w:rPr>
          <w:b/>
          <w:bCs/>
          <w:u w:val="single"/>
        </w:rPr>
      </w:pPr>
      <w:r w:rsidRPr="00324DA6">
        <w:rPr>
          <w:b/>
          <w:bCs/>
          <w:u w:val="single"/>
        </w:rPr>
        <w:t xml:space="preserve">Advice from Renal Specialists </w:t>
      </w:r>
    </w:p>
    <w:p w14:paraId="08976880" w14:textId="77777777" w:rsidR="00E17DEF" w:rsidRDefault="00324DA6" w:rsidP="007F7BE0">
      <w:pPr>
        <w:spacing w:line="360" w:lineRule="auto"/>
        <w:ind w:left="426"/>
      </w:pPr>
      <w:r w:rsidRPr="00324DA6">
        <w:t xml:space="preserve">Samples and booklets provided by company representatives in the hospital Trust's Renal Units may have led patients to believe that these products could be prescribed by their GPs, which may have led to the prescribing of these items. </w:t>
      </w:r>
    </w:p>
    <w:p w14:paraId="4821D151" w14:textId="614AAB38" w:rsidR="00324DA6" w:rsidRPr="00324DA6" w:rsidRDefault="00324DA6" w:rsidP="007F7BE0">
      <w:pPr>
        <w:spacing w:line="360" w:lineRule="auto"/>
        <w:ind w:left="426"/>
      </w:pPr>
      <w:r w:rsidRPr="00324DA6">
        <w:t xml:space="preserve"> </w:t>
      </w:r>
    </w:p>
    <w:p w14:paraId="5467EB63" w14:textId="77777777" w:rsidR="00324DA6" w:rsidRDefault="00324DA6" w:rsidP="007F7BE0">
      <w:pPr>
        <w:spacing w:line="360" w:lineRule="auto"/>
        <w:ind w:left="426"/>
      </w:pPr>
      <w:r w:rsidRPr="00324DA6">
        <w:t>The various Trusts have now taken action to make sure that these samples and leaflets have been taken out of the Renal Units and do not recommend using these products. Instead, they advise the following:</w:t>
      </w:r>
    </w:p>
    <w:p w14:paraId="5111DF44" w14:textId="77777777" w:rsidR="00E17DEF" w:rsidRPr="00324DA6" w:rsidRDefault="00E17DEF" w:rsidP="007F7BE0">
      <w:pPr>
        <w:spacing w:line="360" w:lineRule="auto"/>
        <w:ind w:left="426"/>
      </w:pPr>
    </w:p>
    <w:p w14:paraId="31BE2270" w14:textId="77777777" w:rsidR="00324DA6" w:rsidRDefault="00324DA6" w:rsidP="007F7BE0">
      <w:pPr>
        <w:spacing w:line="360" w:lineRule="auto"/>
        <w:ind w:left="426"/>
        <w:rPr>
          <w:i/>
          <w:iCs/>
        </w:rPr>
      </w:pPr>
      <w:r w:rsidRPr="00324DA6">
        <w:rPr>
          <w:i/>
          <w:iCs/>
        </w:rPr>
        <w:t>“Do not get your dressing wet, take a shower, or go swimming whilst you have a line. A shallow bath is okay but do not pour water over your line. If the dressing gets wet, bacteria may enter the exit site or line and cause an infection. Ask your dialysis nurse for further advice."</w:t>
      </w:r>
    </w:p>
    <w:p w14:paraId="6B150B05" w14:textId="77777777" w:rsidR="00324DA6" w:rsidRPr="00324DA6" w:rsidRDefault="00324DA6" w:rsidP="007F7BE0">
      <w:pPr>
        <w:spacing w:line="360" w:lineRule="auto"/>
        <w:ind w:left="426"/>
        <w:rPr>
          <w:i/>
          <w:iCs/>
        </w:rPr>
      </w:pPr>
    </w:p>
    <w:p w14:paraId="663BE49F" w14:textId="77777777" w:rsidR="00324DA6" w:rsidRPr="00324DA6" w:rsidRDefault="00324DA6" w:rsidP="007F7BE0">
      <w:pPr>
        <w:spacing w:line="360" w:lineRule="auto"/>
        <w:ind w:left="426"/>
        <w:rPr>
          <w:b/>
          <w:bCs/>
          <w:u w:val="single"/>
        </w:rPr>
      </w:pPr>
      <w:r w:rsidRPr="00324DA6">
        <w:rPr>
          <w:b/>
          <w:bCs/>
          <w:u w:val="single"/>
        </w:rPr>
        <w:t>Actions for Practices</w:t>
      </w:r>
    </w:p>
    <w:p w14:paraId="22BEA1F9" w14:textId="77777777" w:rsidR="00324DA6" w:rsidRPr="00324DA6" w:rsidRDefault="00324DA6" w:rsidP="007F7BE0">
      <w:pPr>
        <w:numPr>
          <w:ilvl w:val="0"/>
          <w:numId w:val="20"/>
        </w:numPr>
        <w:spacing w:line="360" w:lineRule="auto"/>
        <w:ind w:left="1146"/>
        <w:rPr>
          <w:lang w:val="en-US"/>
        </w:rPr>
      </w:pPr>
      <w:r w:rsidRPr="00324DA6">
        <w:t>Please review any existing prescribing of these products in your practice.</w:t>
      </w:r>
      <w:r w:rsidRPr="00324DA6">
        <w:rPr>
          <w:lang w:val="en-US"/>
        </w:rPr>
        <w:t xml:space="preserve"> </w:t>
      </w:r>
    </w:p>
    <w:p w14:paraId="06588AC1" w14:textId="77777777" w:rsidR="00324DA6" w:rsidRPr="00324DA6" w:rsidRDefault="00324DA6" w:rsidP="007F7BE0">
      <w:pPr>
        <w:numPr>
          <w:ilvl w:val="0"/>
          <w:numId w:val="20"/>
        </w:numPr>
        <w:spacing w:line="360" w:lineRule="auto"/>
        <w:ind w:left="1146"/>
        <w:rPr>
          <w:lang w:val="en-US"/>
        </w:rPr>
      </w:pPr>
      <w:r w:rsidRPr="00324DA6">
        <w:rPr>
          <w:lang w:val="en-US"/>
        </w:rPr>
        <w:t xml:space="preserve">Please </w:t>
      </w:r>
      <w:r w:rsidRPr="00324DA6">
        <w:rPr>
          <w:b/>
          <w:bCs/>
          <w:lang w:val="en-US"/>
        </w:rPr>
        <w:t>DO NOT</w:t>
      </w:r>
      <w:r w:rsidRPr="00324DA6">
        <w:rPr>
          <w:lang w:val="en-US"/>
        </w:rPr>
        <w:t xml:space="preserve"> accept requests directly from patients without contacting your Medicines </w:t>
      </w:r>
      <w:proofErr w:type="spellStart"/>
      <w:r w:rsidRPr="00324DA6">
        <w:rPr>
          <w:lang w:val="en-US"/>
        </w:rPr>
        <w:t>Optimisation</w:t>
      </w:r>
      <w:proofErr w:type="spellEnd"/>
      <w:r w:rsidRPr="00324DA6">
        <w:rPr>
          <w:lang w:val="en-US"/>
        </w:rPr>
        <w:t xml:space="preserve"> Team first.</w:t>
      </w:r>
    </w:p>
    <w:p w14:paraId="0DCFB18F" w14:textId="77777777" w:rsidR="00324DA6" w:rsidRPr="00324DA6" w:rsidRDefault="00324DA6" w:rsidP="007F7BE0">
      <w:pPr>
        <w:numPr>
          <w:ilvl w:val="0"/>
          <w:numId w:val="20"/>
        </w:numPr>
        <w:spacing w:line="360" w:lineRule="auto"/>
        <w:ind w:left="1146"/>
        <w:rPr>
          <w:lang w:val="en-US"/>
        </w:rPr>
      </w:pPr>
      <w:r w:rsidRPr="00324DA6">
        <w:rPr>
          <w:lang w:val="en-US"/>
        </w:rPr>
        <w:t xml:space="preserve">Please </w:t>
      </w:r>
      <w:r w:rsidRPr="00324DA6">
        <w:rPr>
          <w:b/>
          <w:bCs/>
          <w:lang w:val="en-US"/>
        </w:rPr>
        <w:t>DO NOT</w:t>
      </w:r>
      <w:r w:rsidRPr="00324DA6">
        <w:rPr>
          <w:lang w:val="en-US"/>
        </w:rPr>
        <w:t xml:space="preserve"> accept any requests from a 3</w:t>
      </w:r>
      <w:r w:rsidRPr="00324DA6">
        <w:rPr>
          <w:vertAlign w:val="superscript"/>
          <w:lang w:val="en-US"/>
        </w:rPr>
        <w:t>rd</w:t>
      </w:r>
      <w:r w:rsidRPr="00324DA6">
        <w:rPr>
          <w:lang w:val="en-US"/>
        </w:rPr>
        <w:t xml:space="preserve"> party DACS (Dispensing Appliance Company) without contacting your Medicines </w:t>
      </w:r>
      <w:proofErr w:type="spellStart"/>
      <w:r w:rsidRPr="00324DA6">
        <w:rPr>
          <w:lang w:val="en-US"/>
        </w:rPr>
        <w:t>Optimisation</w:t>
      </w:r>
      <w:proofErr w:type="spellEnd"/>
      <w:r w:rsidRPr="00324DA6">
        <w:rPr>
          <w:lang w:val="en-US"/>
        </w:rPr>
        <w:t xml:space="preserve"> Team first.</w:t>
      </w:r>
    </w:p>
    <w:p w14:paraId="73DB6B33" w14:textId="77777777" w:rsidR="00324DA6" w:rsidRPr="00324DA6" w:rsidRDefault="00324DA6" w:rsidP="007F7BE0">
      <w:pPr>
        <w:numPr>
          <w:ilvl w:val="0"/>
          <w:numId w:val="20"/>
        </w:numPr>
        <w:spacing w:line="360" w:lineRule="auto"/>
        <w:ind w:left="1146"/>
        <w:rPr>
          <w:lang w:val="en-US"/>
        </w:rPr>
      </w:pPr>
      <w:r w:rsidRPr="00324DA6">
        <w:rPr>
          <w:lang w:val="en-US"/>
        </w:rPr>
        <w:t xml:space="preserve">Please </w:t>
      </w:r>
      <w:r w:rsidRPr="00324DA6">
        <w:rPr>
          <w:b/>
          <w:bCs/>
          <w:lang w:val="en-US"/>
        </w:rPr>
        <w:t>DO NOT</w:t>
      </w:r>
      <w:r w:rsidRPr="00324DA6">
        <w:rPr>
          <w:lang w:val="en-US"/>
        </w:rPr>
        <w:t xml:space="preserve"> accept requests from other specialties without contacting your Medicines </w:t>
      </w:r>
      <w:proofErr w:type="spellStart"/>
      <w:r w:rsidRPr="00324DA6">
        <w:rPr>
          <w:lang w:val="en-US"/>
        </w:rPr>
        <w:t>Optimisation</w:t>
      </w:r>
      <w:proofErr w:type="spellEnd"/>
      <w:r w:rsidRPr="00324DA6">
        <w:rPr>
          <w:lang w:val="en-US"/>
        </w:rPr>
        <w:t xml:space="preserve"> Team first.</w:t>
      </w:r>
    </w:p>
    <w:p w14:paraId="3CB4E02B" w14:textId="77777777" w:rsidR="001F7946" w:rsidRDefault="001F7946" w:rsidP="00324DA6">
      <w:pPr>
        <w:rPr>
          <w:sz w:val="20"/>
          <w:szCs w:val="20"/>
        </w:rPr>
      </w:pPr>
    </w:p>
    <w:p w14:paraId="3C1949D6" w14:textId="77777777" w:rsidR="004505A2" w:rsidRDefault="004505A2" w:rsidP="00012AAE"/>
    <w:p w14:paraId="765AFE34" w14:textId="77777777" w:rsidR="004505A2" w:rsidRDefault="004505A2" w:rsidP="008D1F21">
      <w:pPr>
        <w:ind w:left="426"/>
      </w:pPr>
    </w:p>
    <w:p w14:paraId="248C7955" w14:textId="5DCBAB22" w:rsidR="004505A2" w:rsidRPr="00B173AB" w:rsidRDefault="00324DA6" w:rsidP="001D6D48">
      <w:pPr>
        <w:shd w:val="clear" w:color="auto" w:fill="E5DFEC" w:themeFill="accent4" w:themeFillTint="33"/>
        <w:ind w:left="426"/>
        <w:rPr>
          <w:b/>
          <w:bCs/>
        </w:rPr>
      </w:pPr>
      <w:r w:rsidRPr="00324DA6">
        <w:t xml:space="preserve"> </w:t>
      </w:r>
      <w:bookmarkStart w:id="11" w:name="_Hlk182857535"/>
      <w:bookmarkStart w:id="12" w:name="Article4"/>
      <w:bookmarkEnd w:id="12"/>
      <w:r w:rsidR="00B173AB" w:rsidRPr="00B173AB">
        <w:rPr>
          <w:b/>
          <w:bCs/>
        </w:rPr>
        <w:t xml:space="preserve">Reminder - </w:t>
      </w:r>
      <w:proofErr w:type="spellStart"/>
      <w:r w:rsidRPr="00B173AB">
        <w:rPr>
          <w:b/>
          <w:bCs/>
        </w:rPr>
        <w:t>Forceval</w:t>
      </w:r>
      <w:proofErr w:type="spellEnd"/>
      <w:r w:rsidRPr="00B173AB">
        <w:rPr>
          <w:b/>
          <w:bCs/>
        </w:rPr>
        <w:t>® capsules</w:t>
      </w:r>
      <w:bookmarkEnd w:id="11"/>
      <w:r w:rsidR="00FE1761">
        <w:rPr>
          <w:b/>
          <w:bCs/>
        </w:rPr>
        <w:t xml:space="preserve"> Position Statement</w:t>
      </w:r>
    </w:p>
    <w:p w14:paraId="64AEC388" w14:textId="77777777" w:rsidR="00B01249" w:rsidRDefault="00B01249" w:rsidP="00B01249">
      <w:pPr>
        <w:pStyle w:val="NoSpacing"/>
        <w:ind w:left="426"/>
      </w:pPr>
    </w:p>
    <w:p w14:paraId="7D16EBDF" w14:textId="77777777" w:rsidR="00324DA6" w:rsidRPr="00324DA6" w:rsidRDefault="00324DA6" w:rsidP="00AE2D53">
      <w:pPr>
        <w:spacing w:line="360" w:lineRule="auto"/>
        <w:ind w:left="426"/>
        <w:rPr>
          <w:rFonts w:asciiTheme="minorHAnsi" w:hAnsiTheme="minorHAnsi" w:cstheme="minorHAnsi"/>
        </w:rPr>
      </w:pPr>
      <w:r w:rsidRPr="00324DA6">
        <w:rPr>
          <w:rFonts w:asciiTheme="minorHAnsi" w:hAnsiTheme="minorHAnsi" w:cstheme="minorHAnsi"/>
        </w:rPr>
        <w:t>The Medicines Optimisation Team would like to remind colleagues that in line with NHS England guidance Kent and Medway ICB does </w:t>
      </w:r>
      <w:r w:rsidRPr="00324DA6">
        <w:rPr>
          <w:rFonts w:asciiTheme="minorHAnsi" w:hAnsiTheme="minorHAnsi" w:cstheme="minorHAnsi"/>
          <w:b/>
          <w:bCs/>
          <w:u w:val="single"/>
        </w:rPr>
        <w:t>not</w:t>
      </w:r>
      <w:r w:rsidRPr="00324DA6">
        <w:rPr>
          <w:rFonts w:asciiTheme="minorHAnsi" w:hAnsiTheme="minorHAnsi" w:cstheme="minorHAnsi"/>
        </w:rPr>
        <w:t xml:space="preserve"> support the routine prescribing of </w:t>
      </w:r>
      <w:proofErr w:type="spellStart"/>
      <w:r w:rsidRPr="00324DA6">
        <w:rPr>
          <w:rFonts w:asciiTheme="minorHAnsi" w:hAnsiTheme="minorHAnsi" w:cstheme="minorHAnsi"/>
        </w:rPr>
        <w:t>Forceval</w:t>
      </w:r>
      <w:proofErr w:type="spellEnd"/>
      <w:r w:rsidRPr="00324DA6">
        <w:rPr>
          <w:rFonts w:asciiTheme="minorHAnsi" w:hAnsiTheme="minorHAnsi" w:cstheme="minorHAnsi"/>
        </w:rPr>
        <w:t xml:space="preserve">® capsules on prescription, unless indicated for a diagnosed vitamin or mineral deficiency. </w:t>
      </w:r>
    </w:p>
    <w:p w14:paraId="7363CFAE" w14:textId="77777777" w:rsidR="00324DA6" w:rsidRPr="00324DA6" w:rsidRDefault="00324DA6" w:rsidP="00AE2D53">
      <w:pPr>
        <w:pStyle w:val="ListParagraph"/>
        <w:numPr>
          <w:ilvl w:val="0"/>
          <w:numId w:val="22"/>
        </w:numPr>
        <w:spacing w:after="160" w:line="360" w:lineRule="auto"/>
        <w:ind w:left="1146"/>
        <w:rPr>
          <w:rFonts w:cstheme="minorHAnsi"/>
        </w:rPr>
      </w:pPr>
      <w:r w:rsidRPr="00324DA6">
        <w:rPr>
          <w:rFonts w:cstheme="minorHAnsi"/>
        </w:rPr>
        <w:t>Maintenance or preventative treatment is not an exception.</w:t>
      </w:r>
    </w:p>
    <w:p w14:paraId="57234836" w14:textId="77777777" w:rsidR="00324DA6" w:rsidRPr="00324DA6" w:rsidRDefault="00324DA6" w:rsidP="00AE2D53">
      <w:pPr>
        <w:pStyle w:val="ListParagraph"/>
        <w:numPr>
          <w:ilvl w:val="0"/>
          <w:numId w:val="22"/>
        </w:numPr>
        <w:spacing w:after="160" w:line="360" w:lineRule="auto"/>
        <w:ind w:left="1146"/>
        <w:rPr>
          <w:rFonts w:cstheme="minorHAnsi"/>
        </w:rPr>
      </w:pPr>
      <w:r w:rsidRPr="00324DA6">
        <w:rPr>
          <w:rFonts w:cstheme="minorHAnsi"/>
        </w:rPr>
        <w:t xml:space="preserve">Following bariatric surgery, patients should purchase </w:t>
      </w:r>
      <w:proofErr w:type="spellStart"/>
      <w:r w:rsidRPr="00324DA6">
        <w:rPr>
          <w:rFonts w:cstheme="minorHAnsi"/>
        </w:rPr>
        <w:t>Forceval</w:t>
      </w:r>
      <w:proofErr w:type="spellEnd"/>
      <w:r w:rsidRPr="00324DA6">
        <w:rPr>
          <w:rFonts w:cstheme="minorHAnsi"/>
        </w:rPr>
        <w:t xml:space="preserve">® capsules over the counter (OTC) or choose a suitable alternative A-Z multivitamin and mineral preparation for supplementation. </w:t>
      </w:r>
    </w:p>
    <w:p w14:paraId="7F961F26" w14:textId="77777777" w:rsidR="00324DA6" w:rsidRPr="00324DA6" w:rsidRDefault="00324DA6" w:rsidP="00AE2D53">
      <w:pPr>
        <w:spacing w:line="360" w:lineRule="auto"/>
        <w:ind w:left="426"/>
        <w:rPr>
          <w:rFonts w:asciiTheme="minorHAnsi" w:hAnsiTheme="minorHAnsi" w:cstheme="minorHAnsi"/>
        </w:rPr>
      </w:pPr>
      <w:r w:rsidRPr="00324DA6">
        <w:rPr>
          <w:rFonts w:asciiTheme="minorHAnsi" w:hAnsiTheme="minorHAnsi" w:cstheme="minorHAnsi"/>
        </w:rPr>
        <w:t xml:space="preserve">Please see the Kent and Medway ICB </w:t>
      </w:r>
      <w:proofErr w:type="spellStart"/>
      <w:r w:rsidRPr="00324DA6">
        <w:rPr>
          <w:rFonts w:asciiTheme="minorHAnsi" w:hAnsiTheme="minorHAnsi" w:cstheme="minorHAnsi"/>
        </w:rPr>
        <w:t>Forceval</w:t>
      </w:r>
      <w:proofErr w:type="spellEnd"/>
      <w:r w:rsidRPr="00324DA6">
        <w:rPr>
          <w:rFonts w:asciiTheme="minorHAnsi" w:hAnsiTheme="minorHAnsi" w:cstheme="minorHAnsi"/>
        </w:rPr>
        <w:t xml:space="preserve"> position statement for Primary Care attached below for further information.</w:t>
      </w:r>
    </w:p>
    <w:p w14:paraId="3D35E559" w14:textId="77777777" w:rsidR="00324DA6" w:rsidRPr="00324DA6" w:rsidRDefault="00324DA6" w:rsidP="00324DA6">
      <w:pPr>
        <w:spacing w:line="360" w:lineRule="auto"/>
        <w:ind w:left="720"/>
        <w:rPr>
          <w:rFonts w:asciiTheme="minorHAnsi" w:hAnsiTheme="minorHAnsi" w:cstheme="minorHAnsi"/>
        </w:rPr>
      </w:pPr>
      <w:r w:rsidRPr="00324DA6">
        <w:rPr>
          <w:rFonts w:asciiTheme="minorHAnsi" w:hAnsiTheme="minorHAnsi" w:cstheme="minorHAnsi"/>
        </w:rPr>
        <w:object w:dxaOrig="1508" w:dyaOrig="984" w14:anchorId="1C9C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7" o:title=""/>
          </v:shape>
          <o:OLEObject Type="Embed" ProgID="AcroExch.Document.DC" ShapeID="_x0000_i1025" DrawAspect="Icon" ObjectID="_1793625811" r:id="rId18"/>
        </w:object>
      </w:r>
    </w:p>
    <w:p w14:paraId="2DD763AC" w14:textId="77777777" w:rsidR="007C5BBE" w:rsidRDefault="007C5BBE" w:rsidP="00C5078C"/>
    <w:p w14:paraId="0E833177" w14:textId="77777777" w:rsidR="007C5BBE" w:rsidRDefault="007C5BBE" w:rsidP="008D1F21">
      <w:pPr>
        <w:ind w:left="426"/>
      </w:pPr>
    </w:p>
    <w:p w14:paraId="4571F17F" w14:textId="46C3D18B" w:rsidR="007C5BBE" w:rsidRPr="001D6D48" w:rsidRDefault="00E17DEF" w:rsidP="007C5BBE">
      <w:pPr>
        <w:shd w:val="clear" w:color="auto" w:fill="E5DFEC" w:themeFill="accent4" w:themeFillTint="33"/>
        <w:ind w:left="426"/>
        <w:rPr>
          <w:b/>
          <w:bCs/>
        </w:rPr>
      </w:pPr>
      <w:bookmarkStart w:id="13" w:name="_Hlk182857623"/>
      <w:bookmarkStart w:id="14" w:name="Article5"/>
      <w:bookmarkEnd w:id="14"/>
      <w:r w:rsidRPr="00E17DEF">
        <w:rPr>
          <w:b/>
          <w:bCs/>
        </w:rPr>
        <w:t>Opioids – Safer Prescribing and Preferred Cost-effective Brands. Information for General Practice</w:t>
      </w:r>
    </w:p>
    <w:bookmarkEnd w:id="13"/>
    <w:p w14:paraId="3F4A8169" w14:textId="77777777" w:rsidR="007C5BBE" w:rsidRDefault="007C5BBE" w:rsidP="007C5BBE">
      <w:pPr>
        <w:rPr>
          <w:rStyle w:val="Strong"/>
          <w:rFonts w:ascii="Lato" w:hAnsi="Lato"/>
          <w:b w:val="0"/>
          <w:bCs w:val="0"/>
          <w:shd w:val="clear" w:color="auto" w:fill="FAFAFA"/>
        </w:rPr>
      </w:pPr>
    </w:p>
    <w:p w14:paraId="0F94E507" w14:textId="77777777" w:rsidR="00324DA6" w:rsidRDefault="00324DA6" w:rsidP="00324DA6">
      <w:pPr>
        <w:ind w:left="426"/>
      </w:pPr>
      <w:r>
        <w:t>Please see the</w:t>
      </w:r>
      <w:r w:rsidRPr="00BA0BB5">
        <w:t xml:space="preserve"> below attach</w:t>
      </w:r>
      <w:r>
        <w:t xml:space="preserve">ment shared as a reminder of the </w:t>
      </w:r>
      <w:r w:rsidRPr="00BA0BB5">
        <w:t>preferred cost-effective brands</w:t>
      </w:r>
      <w:r>
        <w:t xml:space="preserve"> of opioids in primary care in Kent and Medway and for information</w:t>
      </w:r>
      <w:r w:rsidRPr="00BA0BB5">
        <w:t xml:space="preserve"> on the safer prescribing of opioids</w:t>
      </w:r>
      <w:r>
        <w:t>.</w:t>
      </w:r>
    </w:p>
    <w:p w14:paraId="5E22E70D" w14:textId="77777777" w:rsidR="00324DA6" w:rsidRDefault="00324DA6" w:rsidP="00324DA6">
      <w:pPr>
        <w:ind w:left="426"/>
      </w:pPr>
    </w:p>
    <w:p w14:paraId="046298FD" w14:textId="77777777" w:rsidR="00C5078C" w:rsidRDefault="00A63E63" w:rsidP="00C5078C">
      <w:pPr>
        <w:ind w:left="426"/>
      </w:pPr>
      <w:r>
        <w:object w:dxaOrig="1376" w:dyaOrig="899" w14:anchorId="3D3AB094">
          <v:shape id="_x0000_i1026" type="#_x0000_t75" style="width:69pt;height:45pt" o:ole="">
            <v:imagedata r:id="rId19" o:title=""/>
          </v:shape>
          <o:OLEObject Type="Embed" ProgID="AcroExch.Document.DC" ShapeID="_x0000_i1026" DrawAspect="Icon" ObjectID="_1793625812" r:id="rId20"/>
        </w:object>
      </w:r>
    </w:p>
    <w:p w14:paraId="7EE5E5B2" w14:textId="77777777" w:rsidR="007F7BE0" w:rsidRDefault="007F7BE0" w:rsidP="00C5078C">
      <w:pPr>
        <w:ind w:left="426"/>
      </w:pPr>
    </w:p>
    <w:p w14:paraId="10DA2031" w14:textId="77777777" w:rsidR="007F7BE0" w:rsidRDefault="007F7BE0" w:rsidP="00C5078C">
      <w:pPr>
        <w:ind w:left="426"/>
      </w:pPr>
    </w:p>
    <w:p w14:paraId="12EF916C" w14:textId="77777777" w:rsidR="007F7BE0" w:rsidRDefault="007F7BE0" w:rsidP="00C5078C">
      <w:pPr>
        <w:ind w:left="426"/>
      </w:pPr>
    </w:p>
    <w:p w14:paraId="125C5F78" w14:textId="5593CE57" w:rsidR="001D6D48" w:rsidRDefault="001D6D48" w:rsidP="00C5078C">
      <w:pPr>
        <w:ind w:left="426"/>
      </w:pPr>
      <w:r w:rsidRPr="00EE1F83">
        <w:rPr>
          <w:rFonts w:ascii="Helvetica" w:hAnsi="Helvetica" w:cs="Helvetica"/>
          <w:noProof/>
          <w:color w:val="202020"/>
          <w:sz w:val="24"/>
          <w:szCs w:val="24"/>
        </w:rPr>
        <w:lastRenderedPageBreak/>
        <mc:AlternateContent>
          <mc:Choice Requires="wps">
            <w:drawing>
              <wp:anchor distT="45720" distB="45720" distL="114300" distR="114300" simplePos="0" relativeHeight="251664384" behindDoc="0" locked="0" layoutInCell="1" allowOverlap="1" wp14:anchorId="333D8C41" wp14:editId="7FC125A8">
                <wp:simplePos x="0" y="0"/>
                <wp:positionH relativeFrom="column">
                  <wp:posOffset>0</wp:posOffset>
                </wp:positionH>
                <wp:positionV relativeFrom="paragraph">
                  <wp:posOffset>241935</wp:posOffset>
                </wp:positionV>
                <wp:extent cx="6743700" cy="314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14325"/>
                        </a:xfrm>
                        <a:prstGeom prst="rect">
                          <a:avLst/>
                        </a:prstGeom>
                        <a:solidFill>
                          <a:srgbClr val="7030A0"/>
                        </a:solidFill>
                        <a:ln w="9525">
                          <a:solidFill>
                            <a:srgbClr val="7030A0"/>
                          </a:solidFill>
                          <a:miter lim="800000"/>
                          <a:headEnd/>
                          <a:tailEnd/>
                        </a:ln>
                      </wps:spPr>
                      <wps:txb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8C41" id="_x0000_s1027" type="#_x0000_t202" style="position:absolute;left:0;text-align:left;margin-left:0;margin-top:19.05pt;width:531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" fillcolor="#7030a0" strokecolor="#7030a0">
                <v:textbo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v:textbox>
                <w10:wrap type="square"/>
              </v:shape>
            </w:pict>
          </mc:Fallback>
        </mc:AlternateContent>
      </w:r>
    </w:p>
    <w:p w14:paraId="7CC747E8" w14:textId="731B4E7D" w:rsidR="001D6D48" w:rsidRPr="001D6D48" w:rsidRDefault="007113D7" w:rsidP="00C55A14">
      <w:pPr>
        <w:shd w:val="clear" w:color="auto" w:fill="E5DFEC" w:themeFill="accent4" w:themeFillTint="33"/>
        <w:ind w:left="426"/>
        <w:rPr>
          <w:b/>
          <w:bCs/>
        </w:rPr>
      </w:pPr>
      <w:bookmarkStart w:id="15" w:name="_Hlk169686994"/>
      <w:bookmarkStart w:id="16" w:name="Article6"/>
      <w:bookmarkEnd w:id="16"/>
      <w:r w:rsidRPr="007113D7">
        <w:rPr>
          <w:b/>
          <w:bCs/>
        </w:rPr>
        <w:t>MHRA Drug Safety Update – October 2024</w:t>
      </w:r>
    </w:p>
    <w:bookmarkEnd w:id="15"/>
    <w:p w14:paraId="495EDC22" w14:textId="77777777" w:rsidR="00C55A14" w:rsidRDefault="00C55A14" w:rsidP="00C55A14">
      <w:pPr>
        <w:ind w:left="425"/>
      </w:pPr>
    </w:p>
    <w:p w14:paraId="5150A1C8" w14:textId="77777777" w:rsidR="007113D7" w:rsidRPr="00476121" w:rsidRDefault="007113D7" w:rsidP="00B173AB">
      <w:pPr>
        <w:spacing w:line="360" w:lineRule="auto"/>
        <w:ind w:left="426"/>
      </w:pPr>
      <w:r w:rsidRPr="00476121">
        <w:t xml:space="preserve">The latest MHRA Drug Safety Updates can be accessed at </w:t>
      </w:r>
      <w:hyperlink r:id="rId21" w:history="1">
        <w:r w:rsidRPr="00476121">
          <w:rPr>
            <w:rStyle w:val="Hyperlink"/>
          </w:rPr>
          <w:t>Drug Safety Update - GOV.UK (www.gov.uk)</w:t>
        </w:r>
      </w:hyperlink>
      <w:r>
        <w:t xml:space="preserve"> . </w:t>
      </w:r>
      <w:r w:rsidRPr="00476121">
        <w:t xml:space="preserve">This includes links to alerts, recalls and safety information and to the monthly Drug Safety Update PDF newsletter. </w:t>
      </w:r>
    </w:p>
    <w:p w14:paraId="1D5B617B" w14:textId="77777777" w:rsidR="007113D7" w:rsidRDefault="007113D7" w:rsidP="00B173AB">
      <w:pPr>
        <w:spacing w:line="360" w:lineRule="auto"/>
        <w:ind w:left="426"/>
        <w:rPr>
          <w:b/>
          <w:bCs/>
        </w:rPr>
      </w:pPr>
      <w:r w:rsidRPr="00476121">
        <w:rPr>
          <w:b/>
          <w:bCs/>
        </w:rPr>
        <w:t>Th</w:t>
      </w:r>
      <w:r>
        <w:rPr>
          <w:b/>
          <w:bCs/>
        </w:rPr>
        <w:t>e</w:t>
      </w:r>
      <w:r w:rsidRPr="00476121">
        <w:rPr>
          <w:b/>
          <w:bCs/>
        </w:rPr>
        <w:t xml:space="preserve"> </w:t>
      </w:r>
      <w:r>
        <w:rPr>
          <w:b/>
          <w:bCs/>
        </w:rPr>
        <w:t xml:space="preserve">October </w:t>
      </w:r>
      <w:r w:rsidRPr="00476121">
        <w:rPr>
          <w:b/>
          <w:bCs/>
        </w:rPr>
        <w:t>Drug Safety Update includes:</w:t>
      </w:r>
    </w:p>
    <w:p w14:paraId="55B76DC5" w14:textId="77777777" w:rsidR="007113D7" w:rsidRDefault="0096279E" w:rsidP="00B173AB">
      <w:pPr>
        <w:spacing w:line="360" w:lineRule="auto"/>
        <w:ind w:left="426"/>
        <w:rPr>
          <w:rStyle w:val="Hyperlink"/>
          <w:b/>
          <w:bCs/>
        </w:rPr>
      </w:pPr>
      <w:hyperlink r:id="rId22" w:history="1">
        <w:r w:rsidR="007113D7" w:rsidRPr="00B52537">
          <w:rPr>
            <w:rStyle w:val="Hyperlink"/>
          </w:rPr>
          <w:t>GLP-1 receptor agonists: reminder of the potential side effects and to be aware of the potential for misuse - GOV.UK</w:t>
        </w:r>
      </w:hyperlink>
    </w:p>
    <w:p w14:paraId="78FB0058" w14:textId="77777777" w:rsidR="007113D7" w:rsidRPr="008F125F" w:rsidRDefault="007113D7" w:rsidP="00B173AB">
      <w:pPr>
        <w:spacing w:line="360" w:lineRule="auto"/>
        <w:ind w:left="426"/>
      </w:pPr>
      <w:r>
        <w:t>MHRA a</w:t>
      </w:r>
      <w:r w:rsidRPr="008F125F">
        <w:t>dvice for healthcare professionals:</w:t>
      </w:r>
    </w:p>
    <w:p w14:paraId="504931BE" w14:textId="77777777" w:rsidR="007113D7" w:rsidRPr="008F125F" w:rsidRDefault="007113D7" w:rsidP="00B173AB">
      <w:pPr>
        <w:numPr>
          <w:ilvl w:val="0"/>
          <w:numId w:val="23"/>
        </w:numPr>
        <w:tabs>
          <w:tab w:val="clear" w:pos="720"/>
          <w:tab w:val="num" w:pos="1146"/>
        </w:tabs>
        <w:spacing w:after="160" w:line="360" w:lineRule="auto"/>
        <w:ind w:left="1146"/>
      </w:pPr>
      <w:r w:rsidRPr="008F125F">
        <w:t>inform patients upon initial prescription and when increasing the dose about the common risk of gastrointestinal side effects which may affect more than 1 in 10 patients. These are usually non-serious, however can sometimes lead to more serious complications such as severe dehydration, resulting in hospitalisation</w:t>
      </w:r>
    </w:p>
    <w:p w14:paraId="230636F1" w14:textId="77777777" w:rsidR="007113D7" w:rsidRPr="008F125F" w:rsidRDefault="007113D7" w:rsidP="00B173AB">
      <w:pPr>
        <w:numPr>
          <w:ilvl w:val="0"/>
          <w:numId w:val="23"/>
        </w:numPr>
        <w:tabs>
          <w:tab w:val="clear" w:pos="720"/>
          <w:tab w:val="num" w:pos="1146"/>
        </w:tabs>
        <w:spacing w:after="160" w:line="360" w:lineRule="auto"/>
        <w:ind w:left="1146"/>
      </w:pPr>
      <w:r w:rsidRPr="008F125F">
        <w:t>be aware that hypoglycaemia can occur in non-diabetic patients using some GLP-1RAs for weight management; ensure patients are aware of the symptoms and signs of hypoglycaemia and know to urgently seek medical advice should they occur</w:t>
      </w:r>
    </w:p>
    <w:p w14:paraId="40768B20" w14:textId="77777777" w:rsidR="007113D7" w:rsidRPr="008F125F" w:rsidRDefault="007113D7" w:rsidP="00B173AB">
      <w:pPr>
        <w:numPr>
          <w:ilvl w:val="0"/>
          <w:numId w:val="23"/>
        </w:numPr>
        <w:tabs>
          <w:tab w:val="clear" w:pos="720"/>
          <w:tab w:val="num" w:pos="1146"/>
        </w:tabs>
        <w:spacing w:after="160" w:line="360" w:lineRule="auto"/>
        <w:ind w:left="1146"/>
      </w:pPr>
      <w:r w:rsidRPr="008F125F">
        <w:t>patients should also be warned of the </w:t>
      </w:r>
      <w:hyperlink r:id="rId23" w:history="1">
        <w:r w:rsidRPr="008F125F">
          <w:rPr>
            <w:rStyle w:val="Hyperlink"/>
          </w:rPr>
          <w:t>risk of falsified GLP-1RA medicines for weight loss if not prescribed by a registered healthcare professional, and be aware that some falsified medicines have been found to contain insulin</w:t>
        </w:r>
      </w:hyperlink>
      <w:hyperlink r:id="rId24" w:anchor="fn:1" w:history="1">
        <w:r w:rsidRPr="008F125F">
          <w:rPr>
            <w:rStyle w:val="Hyperlink"/>
            <w:vertAlign w:val="superscript"/>
          </w:rPr>
          <w:t>[footnote 1]</w:t>
        </w:r>
      </w:hyperlink>
    </w:p>
    <w:p w14:paraId="1EC420B8" w14:textId="77777777" w:rsidR="007113D7" w:rsidRPr="008F125F" w:rsidRDefault="007113D7" w:rsidP="00B173AB">
      <w:pPr>
        <w:numPr>
          <w:ilvl w:val="0"/>
          <w:numId w:val="23"/>
        </w:numPr>
        <w:tabs>
          <w:tab w:val="clear" w:pos="720"/>
          <w:tab w:val="num" w:pos="1146"/>
        </w:tabs>
        <w:spacing w:after="160" w:line="360" w:lineRule="auto"/>
        <w:ind w:left="1146"/>
      </w:pPr>
      <w:r w:rsidRPr="008F125F">
        <w:t>be aware there have been reports of potential misuse of GLP-1RAs for unauthorised indications such as aesthetic weight loss</w:t>
      </w:r>
    </w:p>
    <w:p w14:paraId="6528015E" w14:textId="77777777" w:rsidR="007113D7" w:rsidRPr="008F125F" w:rsidRDefault="007113D7" w:rsidP="00B173AB">
      <w:pPr>
        <w:numPr>
          <w:ilvl w:val="0"/>
          <w:numId w:val="23"/>
        </w:numPr>
        <w:tabs>
          <w:tab w:val="clear" w:pos="720"/>
          <w:tab w:val="num" w:pos="1146"/>
        </w:tabs>
        <w:spacing w:after="160" w:line="360" w:lineRule="auto"/>
        <w:ind w:left="1146"/>
      </w:pPr>
      <w:r w:rsidRPr="008F125F">
        <w:t>report suspected adverse drug reactions to the </w:t>
      </w:r>
      <w:hyperlink r:id="rId25" w:history="1">
        <w:r w:rsidRPr="008F125F">
          <w:rPr>
            <w:rStyle w:val="Hyperlink"/>
          </w:rPr>
          <w:t>Yellow Card scheme</w:t>
        </w:r>
      </w:hyperlink>
    </w:p>
    <w:p w14:paraId="4AC95AC6" w14:textId="77777777" w:rsidR="007113D7" w:rsidRPr="008F125F" w:rsidRDefault="007113D7" w:rsidP="00B173AB">
      <w:pPr>
        <w:spacing w:line="360" w:lineRule="auto"/>
        <w:ind w:left="426"/>
      </w:pPr>
      <w:r>
        <w:t>MHRA a</w:t>
      </w:r>
      <w:r w:rsidRPr="008F125F">
        <w:t>dvice for healthcare professionals to provide to patients:</w:t>
      </w:r>
    </w:p>
    <w:p w14:paraId="29AC3FCA" w14:textId="77777777" w:rsidR="007113D7" w:rsidRPr="008F125F" w:rsidRDefault="007113D7" w:rsidP="00B173AB">
      <w:pPr>
        <w:numPr>
          <w:ilvl w:val="0"/>
          <w:numId w:val="24"/>
        </w:numPr>
        <w:tabs>
          <w:tab w:val="clear" w:pos="720"/>
          <w:tab w:val="num" w:pos="1146"/>
        </w:tabs>
        <w:spacing w:after="160" w:line="360" w:lineRule="auto"/>
        <w:ind w:left="1146"/>
      </w:pPr>
      <w:r w:rsidRPr="008F125F">
        <w:t>GLP-1RAs are prescription-only medicines to be used under medical supervision and should only be prescribed by a registered healthcare professional</w:t>
      </w:r>
    </w:p>
    <w:p w14:paraId="5017E466" w14:textId="77777777" w:rsidR="007113D7" w:rsidRPr="008F125F" w:rsidRDefault="007113D7" w:rsidP="00B173AB">
      <w:pPr>
        <w:numPr>
          <w:ilvl w:val="0"/>
          <w:numId w:val="24"/>
        </w:numPr>
        <w:tabs>
          <w:tab w:val="clear" w:pos="720"/>
          <w:tab w:val="num" w:pos="1146"/>
        </w:tabs>
        <w:spacing w:after="160" w:line="360" w:lineRule="auto"/>
        <w:ind w:left="1146"/>
      </w:pPr>
      <w:r w:rsidRPr="008F125F">
        <w:t>the benefits and risks of using a GLP-1RAs for weight loss outside of the licensed indications have not been studied</w:t>
      </w:r>
    </w:p>
    <w:p w14:paraId="3FA209DA" w14:textId="77777777" w:rsidR="007113D7" w:rsidRPr="008F125F" w:rsidRDefault="007113D7" w:rsidP="00B173AB">
      <w:pPr>
        <w:numPr>
          <w:ilvl w:val="0"/>
          <w:numId w:val="24"/>
        </w:numPr>
        <w:tabs>
          <w:tab w:val="clear" w:pos="720"/>
          <w:tab w:val="num" w:pos="1146"/>
        </w:tabs>
        <w:spacing w:after="160" w:line="360" w:lineRule="auto"/>
        <w:ind w:left="1146"/>
      </w:pPr>
      <w:r w:rsidRPr="008F125F">
        <w:t xml:space="preserve">common gastrointestinal side-effects of GLP-1RAs treatment (including nausea, vomiting, diarrhoea and constipation) can persist for several days and may affect more than 1 in 10 patients. This may result in </w:t>
      </w:r>
      <w:r w:rsidRPr="008F125F">
        <w:lastRenderedPageBreak/>
        <w:t>dehydration, which if severe may lead to other serious health complications such as kidney damage resulting in hospitalisation</w:t>
      </w:r>
    </w:p>
    <w:p w14:paraId="4660C025" w14:textId="77777777" w:rsidR="007113D7" w:rsidRPr="008F125F" w:rsidRDefault="007113D7" w:rsidP="00B173AB">
      <w:pPr>
        <w:numPr>
          <w:ilvl w:val="0"/>
          <w:numId w:val="24"/>
        </w:numPr>
        <w:tabs>
          <w:tab w:val="clear" w:pos="720"/>
          <w:tab w:val="num" w:pos="1146"/>
        </w:tabs>
        <w:spacing w:after="160" w:line="360" w:lineRule="auto"/>
        <w:ind w:left="1146"/>
      </w:pPr>
      <w:r w:rsidRPr="008F125F">
        <w:t>throughout treatment stay well hydrated by drinking plenty of fluids (such as water) to avoid dehydration, which can sometimes occur after experiencing gastrointestinal side-effects including vomiting and diarrhoea</w:t>
      </w:r>
    </w:p>
    <w:p w14:paraId="08B81E04" w14:textId="77777777" w:rsidR="007113D7" w:rsidRPr="008F125F" w:rsidRDefault="007113D7" w:rsidP="00B173AB">
      <w:pPr>
        <w:numPr>
          <w:ilvl w:val="0"/>
          <w:numId w:val="24"/>
        </w:numPr>
        <w:tabs>
          <w:tab w:val="clear" w:pos="720"/>
          <w:tab w:val="num" w:pos="1146"/>
        </w:tabs>
        <w:spacing w:after="160" w:line="360" w:lineRule="auto"/>
        <w:ind w:left="1146"/>
      </w:pPr>
      <w:r w:rsidRPr="008F125F">
        <w:t>other serious but less common side-effects of GLP-1RAs include acute gallstone disease, pancreatitis, and serious allergic reactions</w:t>
      </w:r>
    </w:p>
    <w:p w14:paraId="1A643960" w14:textId="77777777" w:rsidR="007113D7" w:rsidRPr="008F125F" w:rsidRDefault="007113D7" w:rsidP="00B173AB">
      <w:pPr>
        <w:numPr>
          <w:ilvl w:val="0"/>
          <w:numId w:val="24"/>
        </w:numPr>
        <w:tabs>
          <w:tab w:val="clear" w:pos="720"/>
          <w:tab w:val="num" w:pos="1146"/>
        </w:tabs>
        <w:spacing w:after="160" w:line="360" w:lineRule="auto"/>
        <w:ind w:left="1146"/>
      </w:pPr>
      <w:r w:rsidRPr="008F125F">
        <w:t>if obtaining a private prescription (from a non-NHS prescriber), ensure that this is dispensed from authorised sources, such as registered online pharmacies, to avoid the risk of receiving falsified pens</w:t>
      </w:r>
    </w:p>
    <w:p w14:paraId="11F9DB04" w14:textId="77777777" w:rsidR="007113D7" w:rsidRPr="008F125F" w:rsidRDefault="007113D7" w:rsidP="00B173AB">
      <w:pPr>
        <w:numPr>
          <w:ilvl w:val="0"/>
          <w:numId w:val="24"/>
        </w:numPr>
        <w:tabs>
          <w:tab w:val="clear" w:pos="720"/>
          <w:tab w:val="num" w:pos="1146"/>
        </w:tabs>
        <w:spacing w:after="160" w:line="360" w:lineRule="auto"/>
        <w:ind w:left="1146"/>
      </w:pPr>
      <w:r w:rsidRPr="008F125F">
        <w:t>carefully read the instructions for use in the Patient Information Leaflet, and use the prescribed dose</w:t>
      </w:r>
    </w:p>
    <w:p w14:paraId="3953D257" w14:textId="77777777" w:rsidR="007113D7" w:rsidRPr="008F125F" w:rsidRDefault="007113D7" w:rsidP="00B173AB">
      <w:pPr>
        <w:numPr>
          <w:ilvl w:val="0"/>
          <w:numId w:val="24"/>
        </w:numPr>
        <w:tabs>
          <w:tab w:val="clear" w:pos="720"/>
          <w:tab w:val="num" w:pos="1146"/>
        </w:tabs>
        <w:spacing w:after="160" w:line="360" w:lineRule="auto"/>
        <w:ind w:left="1146"/>
      </w:pPr>
      <w:r w:rsidRPr="008F125F">
        <w:t>if you are concerned about any side-effects, speak to a healthcare professional</w:t>
      </w:r>
    </w:p>
    <w:p w14:paraId="5FB91BAF" w14:textId="77777777" w:rsidR="007113D7" w:rsidRDefault="007113D7" w:rsidP="00B173AB">
      <w:pPr>
        <w:spacing w:line="360" w:lineRule="auto"/>
        <w:ind w:left="426"/>
        <w:rPr>
          <w:b/>
          <w:bCs/>
        </w:rPr>
      </w:pPr>
    </w:p>
    <w:p w14:paraId="5B67FEBC" w14:textId="77777777" w:rsidR="007113D7" w:rsidRDefault="0096279E" w:rsidP="00B173AB">
      <w:pPr>
        <w:spacing w:line="360" w:lineRule="auto"/>
        <w:ind w:left="426"/>
        <w:rPr>
          <w:rStyle w:val="Hyperlink"/>
          <w:b/>
          <w:bCs/>
        </w:rPr>
      </w:pPr>
      <w:hyperlink r:id="rId26" w:history="1">
        <w:r w:rsidR="007113D7" w:rsidRPr="00FB2136">
          <w:rPr>
            <w:rStyle w:val="Hyperlink"/>
          </w:rPr>
          <w:t>Insulin pumps and continuous glucose monitoring (CGM) equipment: guidance for users on reporting suspected adverse incidents and safety concerns to the MHRA’s Yellow Card scheme - GOV.UK</w:t>
        </w:r>
      </w:hyperlink>
    </w:p>
    <w:p w14:paraId="3FA45D4B" w14:textId="77777777" w:rsidR="007113D7" w:rsidRPr="008F125F" w:rsidRDefault="007113D7" w:rsidP="00B173AB">
      <w:pPr>
        <w:spacing w:line="360" w:lineRule="auto"/>
        <w:ind w:left="426"/>
      </w:pPr>
      <w:r>
        <w:t>MHRA a</w:t>
      </w:r>
      <w:r w:rsidRPr="008F125F">
        <w:t>dvice for healthcare professionals:</w:t>
      </w:r>
    </w:p>
    <w:p w14:paraId="1F9BEEC6" w14:textId="77777777" w:rsidR="007113D7" w:rsidRPr="008F125F" w:rsidRDefault="007113D7" w:rsidP="00B173AB">
      <w:pPr>
        <w:numPr>
          <w:ilvl w:val="0"/>
          <w:numId w:val="25"/>
        </w:numPr>
        <w:tabs>
          <w:tab w:val="clear" w:pos="720"/>
          <w:tab w:val="num" w:pos="1146"/>
        </w:tabs>
        <w:spacing w:after="160" w:line="360" w:lineRule="auto"/>
        <w:ind w:left="1146"/>
      </w:pPr>
      <w:r w:rsidRPr="008F125F">
        <w:t>insulin pumps and continuous glucose monitoring (CGM) devices are complex devices with the potential to result in serious harm in the event of error. To aid the MHRA in early identification of safety concerns associated with these devices, users of the equipment need to know how to report safety issues to the MHRA</w:t>
      </w:r>
    </w:p>
    <w:p w14:paraId="3C23E451" w14:textId="77777777" w:rsidR="007113D7" w:rsidRPr="008F125F" w:rsidRDefault="0096279E" w:rsidP="00B173AB">
      <w:pPr>
        <w:numPr>
          <w:ilvl w:val="0"/>
          <w:numId w:val="25"/>
        </w:numPr>
        <w:tabs>
          <w:tab w:val="clear" w:pos="720"/>
          <w:tab w:val="num" w:pos="1146"/>
        </w:tabs>
        <w:spacing w:after="160" w:line="360" w:lineRule="auto"/>
        <w:ind w:left="1146"/>
      </w:pPr>
      <w:hyperlink r:id="rId27" w:history="1">
        <w:r w:rsidR="007113D7" w:rsidRPr="008F125F">
          <w:rPr>
            <w:rStyle w:val="Hyperlink"/>
          </w:rPr>
          <w:t>we have published guidance</w:t>
        </w:r>
      </w:hyperlink>
      <w:r w:rsidR="007113D7" w:rsidRPr="008F125F">
        <w:t> to explain to users of all medical devices manufactured for diabetes management how to report safety concerns to the MHRA using the Yellow Card scheme</w:t>
      </w:r>
    </w:p>
    <w:p w14:paraId="47FACEB8" w14:textId="77777777" w:rsidR="007113D7" w:rsidRPr="008F125F" w:rsidRDefault="007113D7" w:rsidP="00B173AB">
      <w:pPr>
        <w:numPr>
          <w:ilvl w:val="0"/>
          <w:numId w:val="25"/>
        </w:numPr>
        <w:tabs>
          <w:tab w:val="clear" w:pos="720"/>
          <w:tab w:val="num" w:pos="1146"/>
        </w:tabs>
        <w:spacing w:after="160" w:line="360" w:lineRule="auto"/>
        <w:ind w:left="1146"/>
      </w:pPr>
      <w:r w:rsidRPr="008F125F">
        <w:t>this guidance is expected to improve the quality of information the MHRA receives and should the need arise, support a thorough investigation of the relevant equipment</w:t>
      </w:r>
    </w:p>
    <w:p w14:paraId="7BD933C5" w14:textId="77777777" w:rsidR="007113D7" w:rsidRPr="008F125F" w:rsidRDefault="0096279E" w:rsidP="00B173AB">
      <w:pPr>
        <w:numPr>
          <w:ilvl w:val="0"/>
          <w:numId w:val="25"/>
        </w:numPr>
        <w:tabs>
          <w:tab w:val="clear" w:pos="720"/>
          <w:tab w:val="num" w:pos="1146"/>
        </w:tabs>
        <w:spacing w:after="160" w:line="360" w:lineRule="auto"/>
        <w:ind w:left="1146"/>
      </w:pPr>
      <w:hyperlink r:id="rId28" w:history="1">
        <w:r w:rsidR="007113D7" w:rsidRPr="008F125F">
          <w:rPr>
            <w:rStyle w:val="Hyperlink"/>
          </w:rPr>
          <w:t>highlight the guidance</w:t>
        </w:r>
      </w:hyperlink>
      <w:r w:rsidR="007113D7" w:rsidRPr="008F125F">
        <w:t> to patients using insulin pumps, insulin pens and CGM devices</w:t>
      </w:r>
    </w:p>
    <w:p w14:paraId="56A3FEFB" w14:textId="77777777" w:rsidR="007113D7" w:rsidRPr="008F125F" w:rsidRDefault="007113D7" w:rsidP="00B173AB">
      <w:pPr>
        <w:numPr>
          <w:ilvl w:val="0"/>
          <w:numId w:val="25"/>
        </w:numPr>
        <w:tabs>
          <w:tab w:val="clear" w:pos="720"/>
          <w:tab w:val="num" w:pos="1146"/>
        </w:tabs>
        <w:spacing w:after="160" w:line="360" w:lineRule="auto"/>
        <w:ind w:left="1146"/>
      </w:pPr>
      <w:r w:rsidRPr="008F125F">
        <w:t>remind patients that if they suspect a problem with their device, they should be advised to use an alternative method to manage their diabetes</w:t>
      </w:r>
    </w:p>
    <w:p w14:paraId="6C79CB1B" w14:textId="77777777" w:rsidR="007113D7" w:rsidRPr="008F125F" w:rsidRDefault="007113D7" w:rsidP="00B173AB">
      <w:pPr>
        <w:numPr>
          <w:ilvl w:val="0"/>
          <w:numId w:val="25"/>
        </w:numPr>
        <w:tabs>
          <w:tab w:val="clear" w:pos="720"/>
          <w:tab w:val="num" w:pos="1146"/>
        </w:tabs>
        <w:spacing w:after="160" w:line="360" w:lineRule="auto"/>
        <w:ind w:left="1146"/>
      </w:pPr>
      <w:r w:rsidRPr="008F125F">
        <w:t>we are also </w:t>
      </w:r>
      <w:hyperlink r:id="rId29" w:history="1">
        <w:r w:rsidRPr="008F125F">
          <w:rPr>
            <w:rStyle w:val="Hyperlink"/>
          </w:rPr>
          <w:t>providing a poster</w:t>
        </w:r>
      </w:hyperlink>
      <w:r w:rsidRPr="008F125F">
        <w:t> with a direct link to the guidance (QR code) which can be printed to display in your clinic waiting room</w:t>
      </w:r>
    </w:p>
    <w:p w14:paraId="1771C88B" w14:textId="77777777" w:rsidR="007113D7" w:rsidRPr="008F125F" w:rsidRDefault="007113D7" w:rsidP="00B173AB">
      <w:pPr>
        <w:numPr>
          <w:ilvl w:val="0"/>
          <w:numId w:val="25"/>
        </w:numPr>
        <w:tabs>
          <w:tab w:val="clear" w:pos="720"/>
          <w:tab w:val="num" w:pos="1146"/>
        </w:tabs>
        <w:spacing w:after="160" w:line="360" w:lineRule="auto"/>
        <w:ind w:left="1146"/>
      </w:pPr>
      <w:r w:rsidRPr="008F125F">
        <w:lastRenderedPageBreak/>
        <w:t>healthcare professionals should also speak to their local Medical Device Safety Officer (MDSO) on how you can support the reporting of adverse incidents with these medical devices</w:t>
      </w:r>
    </w:p>
    <w:p w14:paraId="0327282F" w14:textId="77777777" w:rsidR="007113D7" w:rsidRPr="008F125F" w:rsidRDefault="007113D7" w:rsidP="00B173AB">
      <w:pPr>
        <w:numPr>
          <w:ilvl w:val="0"/>
          <w:numId w:val="25"/>
        </w:numPr>
        <w:tabs>
          <w:tab w:val="clear" w:pos="720"/>
          <w:tab w:val="num" w:pos="1146"/>
        </w:tabs>
        <w:spacing w:after="160" w:line="360" w:lineRule="auto"/>
        <w:ind w:left="1146"/>
      </w:pPr>
      <w:r w:rsidRPr="008F125F">
        <w:t>report problems and adverse incidents associated with medical devices used in the management of diabetes on a </w:t>
      </w:r>
      <w:hyperlink r:id="rId30" w:history="1">
        <w:r w:rsidRPr="008F125F">
          <w:rPr>
            <w:rStyle w:val="Hyperlink"/>
          </w:rPr>
          <w:t>Yellow Card</w:t>
        </w:r>
      </w:hyperlink>
    </w:p>
    <w:p w14:paraId="103D4295" w14:textId="77777777" w:rsidR="007113D7" w:rsidRDefault="007113D7" w:rsidP="00B173AB">
      <w:pPr>
        <w:spacing w:line="360" w:lineRule="auto"/>
        <w:ind w:left="426"/>
        <w:rPr>
          <w:b/>
          <w:bCs/>
        </w:rPr>
      </w:pPr>
    </w:p>
    <w:p w14:paraId="193007C1" w14:textId="77777777" w:rsidR="007113D7" w:rsidRDefault="0096279E" w:rsidP="00B173AB">
      <w:pPr>
        <w:spacing w:line="360" w:lineRule="auto"/>
        <w:ind w:left="426"/>
        <w:rPr>
          <w:b/>
          <w:bCs/>
        </w:rPr>
      </w:pPr>
      <w:hyperlink r:id="rId31" w:history="1">
        <w:r w:rsidR="007113D7" w:rsidRPr="00FB2136">
          <w:rPr>
            <w:rStyle w:val="Hyperlink"/>
          </w:rPr>
          <w:t>Bromocriptine: monitor blood pressure when prescribing bromocriptine for prevention or inhibition of post-partum physiological lactation - GOV.UK</w:t>
        </w:r>
      </w:hyperlink>
    </w:p>
    <w:p w14:paraId="62A63560" w14:textId="77777777" w:rsidR="007113D7" w:rsidRDefault="007113D7" w:rsidP="00B173AB">
      <w:pPr>
        <w:spacing w:line="360" w:lineRule="auto"/>
        <w:ind w:left="426"/>
      </w:pPr>
      <w:r w:rsidRPr="00D7621A">
        <w:t>A safety review has been conducted by the MHRA following a Yellow Card report concerning a patient who was taking bromocriptine. The review concluded that blood pressure monitoring of patients prescribed with this drug is essential especially during the first days of treatment.</w:t>
      </w:r>
    </w:p>
    <w:p w14:paraId="1D5AA1E8" w14:textId="77777777" w:rsidR="007113D7" w:rsidRPr="00D7621A" w:rsidRDefault="007113D7" w:rsidP="00B173AB">
      <w:pPr>
        <w:spacing w:line="360" w:lineRule="auto"/>
        <w:ind w:left="426"/>
      </w:pPr>
      <w:r w:rsidRPr="00D7621A">
        <w:t>MHRA advice for healthcare professionals:</w:t>
      </w:r>
    </w:p>
    <w:p w14:paraId="390208B0" w14:textId="77777777" w:rsidR="007113D7" w:rsidRPr="00D7621A" w:rsidRDefault="007113D7" w:rsidP="00B173AB">
      <w:pPr>
        <w:numPr>
          <w:ilvl w:val="0"/>
          <w:numId w:val="26"/>
        </w:numPr>
        <w:tabs>
          <w:tab w:val="clear" w:pos="720"/>
          <w:tab w:val="num" w:pos="1146"/>
        </w:tabs>
        <w:spacing w:after="160" w:line="360" w:lineRule="auto"/>
        <w:ind w:left="1146"/>
      </w:pPr>
      <w:r w:rsidRPr="00D7621A">
        <w:t>bromocriptine should only be prescribed to suppress post-partum physiological lactation, where it is medically indicated such as intrapartum loss, neonatal death, or in some cases of HIV infection of the mother</w:t>
      </w:r>
    </w:p>
    <w:p w14:paraId="1E1425C0" w14:textId="77777777" w:rsidR="007113D7" w:rsidRPr="00D7621A" w:rsidRDefault="007113D7" w:rsidP="00B173AB">
      <w:pPr>
        <w:numPr>
          <w:ilvl w:val="0"/>
          <w:numId w:val="26"/>
        </w:numPr>
        <w:tabs>
          <w:tab w:val="clear" w:pos="720"/>
          <w:tab w:val="num" w:pos="1146"/>
        </w:tabs>
        <w:spacing w:after="160" w:line="360" w:lineRule="auto"/>
        <w:ind w:left="1146"/>
      </w:pPr>
      <w:r w:rsidRPr="00D7621A">
        <w:t>bromocriptine should not be used for routine lactation suppression, or for relieving symptoms of postpartum breast pain and engorgement, which can be adequately treated with non-pharmacological interventions (such as firm breast support, ice application) and simple analgesics</w:t>
      </w:r>
    </w:p>
    <w:p w14:paraId="05F8FA1D" w14:textId="77777777" w:rsidR="007113D7" w:rsidRPr="00D7621A" w:rsidRDefault="007113D7" w:rsidP="00B173AB">
      <w:pPr>
        <w:numPr>
          <w:ilvl w:val="0"/>
          <w:numId w:val="26"/>
        </w:numPr>
        <w:tabs>
          <w:tab w:val="clear" w:pos="720"/>
          <w:tab w:val="num" w:pos="1146"/>
        </w:tabs>
        <w:spacing w:after="160" w:line="360" w:lineRule="auto"/>
        <w:ind w:left="1146"/>
      </w:pPr>
      <w:r w:rsidRPr="00D7621A">
        <w:t>use is contraindicated for patients with uncontrolled hypertension, hypertensive disorders of pregnancy (including eclampsia, pre-eclampsia or pregnancy-induced hypertension), hypertension post-partum and in the puerperium, a history of coronary artery disease or other severe cardiovascular conditions</w:t>
      </w:r>
    </w:p>
    <w:p w14:paraId="3B9FE953" w14:textId="77777777" w:rsidR="007113D7" w:rsidRPr="00D7621A" w:rsidRDefault="007113D7" w:rsidP="00B173AB">
      <w:pPr>
        <w:numPr>
          <w:ilvl w:val="0"/>
          <w:numId w:val="26"/>
        </w:numPr>
        <w:tabs>
          <w:tab w:val="clear" w:pos="720"/>
          <w:tab w:val="num" w:pos="1146"/>
        </w:tabs>
        <w:spacing w:after="160" w:line="360" w:lineRule="auto"/>
        <w:ind w:left="1146"/>
      </w:pPr>
      <w:proofErr w:type="gramStart"/>
      <w:r w:rsidRPr="00D7621A">
        <w:t>particular caution</w:t>
      </w:r>
      <w:proofErr w:type="gramEnd"/>
      <w:r w:rsidRPr="00D7621A">
        <w:t xml:space="preserve"> is required in patients who are on concomitant therapy or recent treatment with drugs that can alter blood pressure</w:t>
      </w:r>
    </w:p>
    <w:p w14:paraId="00C6F73D" w14:textId="77777777" w:rsidR="007113D7" w:rsidRPr="00D7621A" w:rsidRDefault="007113D7" w:rsidP="00B173AB">
      <w:pPr>
        <w:numPr>
          <w:ilvl w:val="0"/>
          <w:numId w:val="26"/>
        </w:numPr>
        <w:tabs>
          <w:tab w:val="clear" w:pos="720"/>
          <w:tab w:val="num" w:pos="1146"/>
        </w:tabs>
        <w:spacing w:after="160" w:line="360" w:lineRule="auto"/>
        <w:ind w:left="1146"/>
      </w:pPr>
      <w:r w:rsidRPr="00D7621A">
        <w:t>when prescribing bromocriptine for any of its indications, carefully monitor for an increase in blood pressure, especially during the first days of therapy and with any subsequent dose increases</w:t>
      </w:r>
    </w:p>
    <w:p w14:paraId="6C0789B8" w14:textId="77777777" w:rsidR="007113D7" w:rsidRPr="00D7621A" w:rsidRDefault="007113D7" w:rsidP="00B173AB">
      <w:pPr>
        <w:numPr>
          <w:ilvl w:val="0"/>
          <w:numId w:val="26"/>
        </w:numPr>
        <w:tabs>
          <w:tab w:val="clear" w:pos="720"/>
          <w:tab w:val="num" w:pos="1146"/>
        </w:tabs>
        <w:spacing w:after="160" w:line="360" w:lineRule="auto"/>
        <w:ind w:left="1146"/>
      </w:pPr>
      <w:r w:rsidRPr="00D7621A">
        <w:t>if patients prescribed bromocriptine present with signs and symptoms of hypertension, treatment should be discontinued, and the patient evaluated promptly by healthcare professionals</w:t>
      </w:r>
    </w:p>
    <w:p w14:paraId="783B3846" w14:textId="77777777" w:rsidR="007113D7" w:rsidRPr="00D7621A" w:rsidRDefault="007113D7" w:rsidP="00B173AB">
      <w:pPr>
        <w:numPr>
          <w:ilvl w:val="0"/>
          <w:numId w:val="26"/>
        </w:numPr>
        <w:tabs>
          <w:tab w:val="clear" w:pos="720"/>
          <w:tab w:val="num" w:pos="1146"/>
        </w:tabs>
        <w:spacing w:after="160" w:line="360" w:lineRule="auto"/>
        <w:ind w:left="1146"/>
      </w:pPr>
      <w:r w:rsidRPr="00D7621A">
        <w:t>clinical guidance</w:t>
      </w:r>
      <w:hyperlink r:id="rId32" w:anchor="fn:1" w:history="1">
        <w:r w:rsidRPr="00D7621A">
          <w:rPr>
            <w:rStyle w:val="Hyperlink"/>
            <w:vertAlign w:val="superscript"/>
          </w:rPr>
          <w:t>[footnote 1]</w:t>
        </w:r>
      </w:hyperlink>
      <w:r w:rsidRPr="00D7621A">
        <w:t> recommends cabergoline as the preferred drug for prevention or inhibition of post-partum physiological lactation, owing to the single dose regime and lower rates of rebound breast activity and adverse events. However, blood pressure monitoring is still necessary when taking cabergoline as both cabergoline and bromocriptine are dopamine agonists and should not be given to women with hypertension or pre-eclampsia</w:t>
      </w:r>
    </w:p>
    <w:p w14:paraId="12EAD87B" w14:textId="77777777" w:rsidR="007113D7" w:rsidRPr="00D7621A" w:rsidRDefault="007113D7" w:rsidP="00B173AB">
      <w:pPr>
        <w:numPr>
          <w:ilvl w:val="0"/>
          <w:numId w:val="26"/>
        </w:numPr>
        <w:tabs>
          <w:tab w:val="clear" w:pos="720"/>
          <w:tab w:val="num" w:pos="1146"/>
        </w:tabs>
        <w:spacing w:after="160" w:line="360" w:lineRule="auto"/>
        <w:ind w:left="1146"/>
      </w:pPr>
      <w:r w:rsidRPr="00D7621A">
        <w:lastRenderedPageBreak/>
        <w:t>healthcare professionals are encouraged to read the Summary of Product Characteristics (SmPC) for special warnings and contraindications for the use of bromocriptine and cabergoline</w:t>
      </w:r>
    </w:p>
    <w:p w14:paraId="567FB4AF" w14:textId="77777777" w:rsidR="007113D7" w:rsidRPr="00D7621A" w:rsidRDefault="007113D7" w:rsidP="00B173AB">
      <w:pPr>
        <w:numPr>
          <w:ilvl w:val="0"/>
          <w:numId w:val="26"/>
        </w:numPr>
        <w:tabs>
          <w:tab w:val="clear" w:pos="720"/>
          <w:tab w:val="num" w:pos="1146"/>
        </w:tabs>
        <w:spacing w:after="160" w:line="360" w:lineRule="auto"/>
        <w:ind w:left="1146"/>
      </w:pPr>
      <w:r w:rsidRPr="00D7621A">
        <w:t>report suspected adverse drug reactions to bromocriptine or cabergoline to the </w:t>
      </w:r>
      <w:hyperlink r:id="rId33" w:history="1">
        <w:r w:rsidRPr="00D7621A">
          <w:rPr>
            <w:rStyle w:val="Hyperlink"/>
          </w:rPr>
          <w:t>Yellow Card scheme</w:t>
        </w:r>
      </w:hyperlink>
    </w:p>
    <w:p w14:paraId="7C437AC8" w14:textId="77777777" w:rsidR="007113D7" w:rsidRPr="00D7621A" w:rsidRDefault="007113D7" w:rsidP="00B173AB">
      <w:pPr>
        <w:spacing w:line="360" w:lineRule="auto"/>
        <w:ind w:left="426"/>
      </w:pPr>
    </w:p>
    <w:p w14:paraId="43CA495C" w14:textId="77777777" w:rsidR="007113D7" w:rsidRDefault="0096279E" w:rsidP="00B173AB">
      <w:pPr>
        <w:spacing w:line="360" w:lineRule="auto"/>
        <w:ind w:left="426"/>
        <w:rPr>
          <w:b/>
          <w:bCs/>
        </w:rPr>
      </w:pPr>
      <w:hyperlink r:id="rId34" w:history="1">
        <w:r w:rsidR="007113D7" w:rsidRPr="00B52537">
          <w:rPr>
            <w:rStyle w:val="Hyperlink"/>
          </w:rPr>
          <w:t>Letters and medicine recalls sent to healthcare professionals in September 2024 - GOV.UK</w:t>
        </w:r>
      </w:hyperlink>
    </w:p>
    <w:p w14:paraId="426D2E41" w14:textId="77777777" w:rsidR="007113D7" w:rsidRDefault="007113D7" w:rsidP="00B173AB">
      <w:pPr>
        <w:spacing w:line="360" w:lineRule="auto"/>
        <w:ind w:left="426"/>
        <w:rPr>
          <w:b/>
          <w:bCs/>
        </w:rPr>
      </w:pPr>
      <w:r>
        <w:rPr>
          <w:b/>
          <w:bCs/>
        </w:rPr>
        <w:t>**</w:t>
      </w:r>
      <w:r w:rsidRPr="00B20C9B">
        <w:rPr>
          <w:b/>
          <w:bCs/>
        </w:rPr>
        <w:t>Please</w:t>
      </w:r>
      <w:r w:rsidRPr="0051519A">
        <w:t xml:space="preserve"> </w:t>
      </w:r>
      <w:r w:rsidRPr="005544F1">
        <w:rPr>
          <w:b/>
          <w:bCs/>
        </w:rPr>
        <w:t>follow the link in the title</w:t>
      </w:r>
      <w:r>
        <w:rPr>
          <w:b/>
          <w:bCs/>
        </w:rPr>
        <w:t>s</w:t>
      </w:r>
      <w:r w:rsidRPr="005544F1">
        <w:rPr>
          <w:b/>
          <w:bCs/>
        </w:rPr>
        <w:t xml:space="preserve"> above for more information and </w:t>
      </w:r>
      <w:proofErr w:type="gramStart"/>
      <w:r w:rsidRPr="005544F1">
        <w:rPr>
          <w:b/>
          <w:bCs/>
        </w:rPr>
        <w:t>resources.</w:t>
      </w:r>
      <w:r>
        <w:rPr>
          <w:b/>
          <w:bCs/>
        </w:rPr>
        <w:t>*</w:t>
      </w:r>
      <w:proofErr w:type="gramEnd"/>
      <w:r>
        <w:rPr>
          <w:b/>
          <w:bCs/>
        </w:rPr>
        <w:t>*</w:t>
      </w:r>
    </w:p>
    <w:p w14:paraId="719459AA" w14:textId="77777777" w:rsidR="007113D7" w:rsidRDefault="007113D7" w:rsidP="00B173AB">
      <w:pPr>
        <w:spacing w:line="360" w:lineRule="auto"/>
        <w:ind w:left="426"/>
        <w:rPr>
          <w:b/>
          <w:bCs/>
        </w:rPr>
      </w:pPr>
    </w:p>
    <w:p w14:paraId="6340B7BB" w14:textId="77777777" w:rsidR="007113D7" w:rsidRPr="00147D2C" w:rsidRDefault="007113D7" w:rsidP="00B173AB">
      <w:pPr>
        <w:spacing w:line="360" w:lineRule="auto"/>
        <w:ind w:left="426"/>
        <w:rPr>
          <w:b/>
          <w:bCs/>
          <w:sz w:val="28"/>
          <w:szCs w:val="28"/>
        </w:rPr>
      </w:pPr>
      <w:r w:rsidRPr="00147D2C">
        <w:rPr>
          <w:b/>
          <w:bCs/>
          <w:sz w:val="28"/>
          <w:szCs w:val="28"/>
        </w:rPr>
        <w:t>NATIONAL CAS ALERTS (National Patient Safety Alerts and CMO Messages):</w:t>
      </w:r>
    </w:p>
    <w:p w14:paraId="44D56D34" w14:textId="77777777" w:rsidR="007113D7" w:rsidRDefault="007113D7" w:rsidP="00B173AB">
      <w:pPr>
        <w:spacing w:line="360" w:lineRule="auto"/>
        <w:ind w:left="426"/>
        <w:rPr>
          <w:b/>
          <w:bCs/>
        </w:rPr>
      </w:pPr>
      <w:r w:rsidRPr="005544F1">
        <w:rPr>
          <w:b/>
          <w:bCs/>
        </w:rPr>
        <w:t>The MHRA Central Alerting System alerts can be accessed at</w:t>
      </w:r>
      <w:r>
        <w:rPr>
          <w:b/>
          <w:bCs/>
        </w:rPr>
        <w:t xml:space="preserve"> </w:t>
      </w:r>
      <w:hyperlink r:id="rId35" w:history="1">
        <w:r w:rsidRPr="006E3ADF">
          <w:rPr>
            <w:rStyle w:val="Hyperlink"/>
          </w:rPr>
          <w:t>CAS - Home (mhra.gov.uk)</w:t>
        </w:r>
      </w:hyperlink>
    </w:p>
    <w:p w14:paraId="4ACB4FC9" w14:textId="77777777" w:rsidR="007113D7" w:rsidRDefault="007113D7" w:rsidP="00B173AB">
      <w:pPr>
        <w:spacing w:line="360" w:lineRule="auto"/>
        <w:ind w:left="426"/>
        <w:rPr>
          <w:b/>
          <w:bCs/>
        </w:rPr>
      </w:pPr>
      <w:r w:rsidRPr="004061CB">
        <w:t>21.10.24</w:t>
      </w:r>
      <w:r>
        <w:rPr>
          <w:b/>
          <w:bCs/>
        </w:rPr>
        <w:t xml:space="preserve"> </w:t>
      </w:r>
      <w:hyperlink r:id="rId36" w:history="1">
        <w:r>
          <w:rPr>
            <w:rStyle w:val="Hyperlink"/>
          </w:rPr>
          <w:t>UPDATE: Discontinuation of Kay-Cee-L (potassium chloride 375mg/ml) (potassium chloride 5mmol/5ml) syrup</w:t>
        </w:r>
      </w:hyperlink>
    </w:p>
    <w:p w14:paraId="74C0C16F" w14:textId="77777777" w:rsidR="007113D7" w:rsidRDefault="007113D7" w:rsidP="007113D7">
      <w:pPr>
        <w:rPr>
          <w:b/>
          <w:bCs/>
        </w:rPr>
      </w:pPr>
    </w:p>
    <w:p w14:paraId="21C9C35A" w14:textId="77777777" w:rsidR="007113D7" w:rsidRDefault="007113D7" w:rsidP="007113D7">
      <w:pPr>
        <w:rPr>
          <w:b/>
          <w:bCs/>
        </w:rPr>
      </w:pPr>
      <w:r w:rsidRPr="00257415">
        <w:rPr>
          <w:b/>
          <w:bCs/>
        </w:rPr>
        <w:tab/>
      </w:r>
    </w:p>
    <w:p w14:paraId="3B642D0F" w14:textId="03CE5A09" w:rsidR="006D5596" w:rsidRDefault="006D5596" w:rsidP="00012AAE">
      <w:r w:rsidRPr="00EE1F83">
        <w:rPr>
          <w:rFonts w:ascii="Helvetica" w:hAnsi="Helvetica" w:cs="Helvetica"/>
          <w:noProof/>
          <w:color w:val="202020"/>
          <w:sz w:val="24"/>
          <w:szCs w:val="24"/>
        </w:rPr>
        <mc:AlternateContent>
          <mc:Choice Requires="wps">
            <w:drawing>
              <wp:anchor distT="45720" distB="45720" distL="114300" distR="114300" simplePos="0" relativeHeight="251670528" behindDoc="0" locked="0" layoutInCell="1" allowOverlap="1" wp14:anchorId="1E60AFB0" wp14:editId="7E40B10D">
                <wp:simplePos x="0" y="0"/>
                <wp:positionH relativeFrom="margin">
                  <wp:posOffset>0</wp:posOffset>
                </wp:positionH>
                <wp:positionV relativeFrom="paragraph">
                  <wp:posOffset>217170</wp:posOffset>
                </wp:positionV>
                <wp:extent cx="6743700" cy="327660"/>
                <wp:effectExtent l="0" t="0" r="19050" b="15240"/>
                <wp:wrapSquare wrapText="bothSides"/>
                <wp:docPr id="1661621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27660"/>
                        </a:xfrm>
                        <a:prstGeom prst="rect">
                          <a:avLst/>
                        </a:prstGeom>
                        <a:solidFill>
                          <a:srgbClr val="7030A0"/>
                        </a:solidFill>
                        <a:ln w="9525">
                          <a:solidFill>
                            <a:srgbClr val="7030A0"/>
                          </a:solidFill>
                          <a:miter lim="800000"/>
                          <a:headEnd/>
                          <a:tailEnd/>
                        </a:ln>
                      </wps:spPr>
                      <wps:txbx>
                        <w:txbxContent>
                          <w:p w14:paraId="6D357BB9" w14:textId="77777777" w:rsidR="006D5596" w:rsidRPr="00E4129D" w:rsidRDefault="006D5596" w:rsidP="006D5596">
                            <w:pPr>
                              <w:rPr>
                                <w:b/>
                                <w:bCs/>
                                <w:color w:val="FFFFFF" w:themeColor="background1"/>
                                <w:sz w:val="32"/>
                                <w:szCs w:val="32"/>
                              </w:rPr>
                            </w:pPr>
                            <w:r>
                              <w:rPr>
                                <w:b/>
                                <w:bCs/>
                                <w:color w:val="FFFFFF" w:themeColor="background1"/>
                                <w:sz w:val="32"/>
                                <w:szCs w:val="32"/>
                              </w:rPr>
                              <w:t>Shortages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AFB0" id="_x0000_s1028" type="#_x0000_t202" style="position:absolute;margin-left:0;margin-top:17.1pt;width:531pt;height:25.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" fillcolor="#7030a0" strokecolor="#7030a0">
                <v:textbox>
                  <w:txbxContent>
                    <w:p w14:paraId="6D357BB9" w14:textId="77777777" w:rsidR="006D5596" w:rsidRPr="00E4129D" w:rsidRDefault="006D5596" w:rsidP="006D5596">
                      <w:pPr>
                        <w:rPr>
                          <w:b/>
                          <w:bCs/>
                          <w:color w:val="FFFFFF" w:themeColor="background1"/>
                          <w:sz w:val="32"/>
                          <w:szCs w:val="32"/>
                        </w:rPr>
                      </w:pPr>
                      <w:r>
                        <w:rPr>
                          <w:b/>
                          <w:bCs/>
                          <w:color w:val="FFFFFF" w:themeColor="background1"/>
                          <w:sz w:val="32"/>
                          <w:szCs w:val="32"/>
                        </w:rPr>
                        <w:t>Shortages</w:t>
                      </w:r>
                    </w:p>
                  </w:txbxContent>
                </v:textbox>
                <w10:wrap type="square" anchorx="margin"/>
              </v:shape>
            </w:pict>
          </mc:Fallback>
        </mc:AlternateContent>
      </w:r>
    </w:p>
    <w:p w14:paraId="0D215D9D" w14:textId="4F594B79" w:rsidR="006D5596" w:rsidRPr="001D6D48" w:rsidRDefault="006D5596" w:rsidP="006D5596">
      <w:pPr>
        <w:shd w:val="clear" w:color="auto" w:fill="E5DFEC" w:themeFill="accent4" w:themeFillTint="33"/>
        <w:ind w:left="426"/>
        <w:rPr>
          <w:b/>
          <w:bCs/>
        </w:rPr>
      </w:pPr>
      <w:bookmarkStart w:id="17" w:name="Shortages"/>
      <w:bookmarkStart w:id="18" w:name="Article7"/>
      <w:bookmarkEnd w:id="17"/>
      <w:bookmarkEnd w:id="18"/>
      <w:r>
        <w:rPr>
          <w:b/>
          <w:bCs/>
        </w:rPr>
        <w:t xml:space="preserve">Shortages Summary </w:t>
      </w:r>
    </w:p>
    <w:p w14:paraId="5410F63F" w14:textId="0AE00CB7" w:rsidR="006D5596" w:rsidRPr="008232A6" w:rsidRDefault="006D5596" w:rsidP="006D5596">
      <w:pPr>
        <w:spacing w:before="240" w:after="240" w:line="360" w:lineRule="auto"/>
        <w:ind w:left="425"/>
        <w:rPr>
          <w:rFonts w:asciiTheme="minorHAnsi" w:hAnsiTheme="minorHAnsi" w:cstheme="minorHAnsi"/>
        </w:rPr>
      </w:pPr>
      <w:r w:rsidRPr="008232A6">
        <w:rPr>
          <w:rFonts w:asciiTheme="minorHAnsi" w:hAnsiTheme="minorHAnsi" w:cstheme="minorHAnsi"/>
        </w:rPr>
        <w:t xml:space="preserve">From February 2024 onwards, the monthly Medicines Optimisation newsletter will no longer contain the medicines shortages update document, which was compiled each month from the shortages listed on the SPS (Specialist Pharmacy Services) Medicines Supply tool. </w:t>
      </w:r>
      <w:r w:rsidRPr="008232A6">
        <w:rPr>
          <w:rStyle w:val="ui-provider"/>
          <w:rFonts w:asciiTheme="minorHAnsi" w:hAnsiTheme="minorHAnsi" w:cstheme="minorHAnsi"/>
        </w:rPr>
        <w:t>The information published on the SPS Medicines Supply tool is provided by DHSC and NHSEI Medicines Supply Teams and was not formally reviewed by the NHS Kent and Medway Medicines Optimisation team.</w:t>
      </w:r>
    </w:p>
    <w:p w14:paraId="29C3C127" w14:textId="2C37A873" w:rsidR="006D5596" w:rsidRPr="008232A6" w:rsidRDefault="006D5596" w:rsidP="006D5596">
      <w:pPr>
        <w:spacing w:after="240" w:line="360" w:lineRule="auto"/>
        <w:ind w:left="425"/>
        <w:rPr>
          <w:rFonts w:asciiTheme="minorHAnsi" w:hAnsiTheme="minorHAnsi" w:cstheme="minorHAnsi"/>
        </w:rPr>
      </w:pPr>
      <w:r w:rsidRPr="008232A6">
        <w:rPr>
          <w:rFonts w:asciiTheme="minorHAnsi" w:hAnsiTheme="minorHAnsi" w:cstheme="minorHAnsi"/>
        </w:rPr>
        <w:t xml:space="preserve">During the time that the shortages update was compiled and included in the Medicines Optimisation newsletter, practices and healthcare professionals were still encouraged to </w:t>
      </w:r>
      <w:r w:rsidRPr="008232A6">
        <w:rPr>
          <w:rFonts w:asciiTheme="minorHAnsi" w:hAnsiTheme="minorHAnsi" w:cstheme="minorHAnsi"/>
          <w:b/>
          <w:bCs/>
        </w:rPr>
        <w:t xml:space="preserve">register for free access to the </w:t>
      </w:r>
      <w:hyperlink r:id="rId37" w:history="1">
        <w:r w:rsidRPr="008232A6">
          <w:rPr>
            <w:rStyle w:val="Hyperlink"/>
            <w:rFonts w:asciiTheme="minorHAnsi" w:hAnsiTheme="minorHAnsi" w:cstheme="minorHAnsi"/>
          </w:rPr>
          <w:t>SPS website</w:t>
        </w:r>
      </w:hyperlink>
      <w:r w:rsidRPr="008232A6">
        <w:rPr>
          <w:rFonts w:asciiTheme="minorHAnsi" w:hAnsiTheme="minorHAnsi" w:cstheme="minorHAnsi"/>
        </w:rPr>
        <w:t xml:space="preserve"> and to </w:t>
      </w:r>
      <w:r w:rsidRPr="008232A6">
        <w:rPr>
          <w:rFonts w:asciiTheme="minorHAnsi" w:hAnsiTheme="minorHAnsi" w:cstheme="minorHAnsi"/>
          <w:b/>
          <w:bCs/>
        </w:rPr>
        <w:t>access the SPS Medicines Supply tool directly</w:t>
      </w:r>
      <w:r w:rsidRPr="008232A6">
        <w:rPr>
          <w:rFonts w:asciiTheme="minorHAnsi" w:hAnsiTheme="minorHAnsi" w:cstheme="minorHAnsi"/>
        </w:rPr>
        <w:t xml:space="preserve"> in real time, to have access to the most up-to-date and complete information and advice available. Now that the shortages update will no longer be compiled by the Medicines Optimisation team for inclusion in the newsletter, healthcare professionals will be required to access the SPS Medicines Supply tool to access information on the latest shortages. Serious Shortage Protocols (SPPs) can be found on the NHS BSA website </w:t>
      </w:r>
      <w:hyperlink r:id="rId38" w:history="1">
        <w:r w:rsidRPr="008232A6">
          <w:rPr>
            <w:rStyle w:val="Hyperlink"/>
            <w:rFonts w:asciiTheme="minorHAnsi" w:hAnsiTheme="minorHAnsi" w:cstheme="minorHAnsi"/>
          </w:rPr>
          <w:t>here</w:t>
        </w:r>
      </w:hyperlink>
      <w:r w:rsidRPr="008232A6">
        <w:rPr>
          <w:rFonts w:asciiTheme="minorHAnsi" w:hAnsiTheme="minorHAnsi" w:cstheme="minorHAnsi"/>
        </w:rPr>
        <w:t>.</w:t>
      </w:r>
    </w:p>
    <w:p w14:paraId="083977DD" w14:textId="51F113A0" w:rsidR="00AE2D53" w:rsidRDefault="00AE2D53" w:rsidP="002631E0"/>
    <w:p w14:paraId="37E6FA5C" w14:textId="77777777" w:rsidR="00AE2D53" w:rsidRDefault="00AE2D53" w:rsidP="002631E0">
      <w:bookmarkStart w:id="19" w:name="_Hlk183009709"/>
    </w:p>
    <w:p w14:paraId="4D098F8B" w14:textId="77777777" w:rsidR="00AE2D53" w:rsidRDefault="00AE2D53" w:rsidP="002631E0"/>
    <w:p w14:paraId="30B486DF" w14:textId="77777777" w:rsidR="00AE2D53" w:rsidRDefault="00AE2D53" w:rsidP="002631E0"/>
    <w:p w14:paraId="314A36F1" w14:textId="77777777" w:rsidR="00AE2D53" w:rsidRDefault="00AE2D53" w:rsidP="002631E0"/>
    <w:p w14:paraId="4ECE1927" w14:textId="77777777" w:rsidR="00AE2D53" w:rsidRPr="00B173AB" w:rsidRDefault="00AE2D53" w:rsidP="00AE2D53">
      <w:pPr>
        <w:shd w:val="clear" w:color="auto" w:fill="E5DFEC" w:themeFill="accent4" w:themeFillTint="33"/>
        <w:ind w:left="425"/>
        <w:rPr>
          <w:b/>
          <w:bCs/>
        </w:rPr>
      </w:pPr>
      <w:bookmarkStart w:id="20" w:name="_Hlk183011832"/>
      <w:bookmarkStart w:id="21" w:name="Article8"/>
      <w:bookmarkEnd w:id="21"/>
      <w:r>
        <w:rPr>
          <w:b/>
          <w:bCs/>
        </w:rPr>
        <w:lastRenderedPageBreak/>
        <w:t xml:space="preserve">Discontinuation </w:t>
      </w:r>
      <w:proofErr w:type="spellStart"/>
      <w:r w:rsidRPr="002631E0">
        <w:rPr>
          <w:b/>
          <w:bCs/>
        </w:rPr>
        <w:t>NovoRapid</w:t>
      </w:r>
      <w:proofErr w:type="spellEnd"/>
      <w:r w:rsidRPr="002631E0">
        <w:rPr>
          <w:b/>
          <w:bCs/>
        </w:rPr>
        <w:t xml:space="preserve">® (insulin </w:t>
      </w:r>
      <w:proofErr w:type="spellStart"/>
      <w:r w:rsidRPr="002631E0">
        <w:rPr>
          <w:b/>
          <w:bCs/>
        </w:rPr>
        <w:t>aspart</w:t>
      </w:r>
      <w:proofErr w:type="spellEnd"/>
      <w:r w:rsidRPr="002631E0">
        <w:rPr>
          <w:b/>
          <w:bCs/>
        </w:rPr>
        <w:t>) FlexTouch® 100units/ml solution for injection 3ml pre-filled pens</w:t>
      </w:r>
      <w:bookmarkEnd w:id="20"/>
    </w:p>
    <w:p w14:paraId="5053AE69" w14:textId="18A6F853" w:rsidR="002631E0" w:rsidRPr="002631E0" w:rsidRDefault="00AE2D53" w:rsidP="00AE2D53">
      <w:r w:rsidRPr="00EE1F83">
        <w:rPr>
          <w:rFonts w:ascii="Helvetica" w:hAnsi="Helvetica" w:cs="Helvetica"/>
          <w:noProof/>
          <w:color w:val="202020"/>
          <w:sz w:val="24"/>
          <w:szCs w:val="24"/>
        </w:rPr>
        <mc:AlternateContent>
          <mc:Choice Requires="wps">
            <w:drawing>
              <wp:anchor distT="45720" distB="45720" distL="114300" distR="114300" simplePos="0" relativeHeight="251674624" behindDoc="0" locked="0" layoutInCell="1" allowOverlap="1" wp14:anchorId="61B2A93F" wp14:editId="5A981C1E">
                <wp:simplePos x="0" y="0"/>
                <wp:positionH relativeFrom="column">
                  <wp:posOffset>0</wp:posOffset>
                </wp:positionH>
                <wp:positionV relativeFrom="paragraph">
                  <wp:posOffset>0</wp:posOffset>
                </wp:positionV>
                <wp:extent cx="6743700" cy="314325"/>
                <wp:effectExtent l="0" t="0" r="19050" b="28575"/>
                <wp:wrapSquare wrapText="bothSides"/>
                <wp:docPr id="1218735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14325"/>
                        </a:xfrm>
                        <a:prstGeom prst="rect">
                          <a:avLst/>
                        </a:prstGeom>
                        <a:solidFill>
                          <a:srgbClr val="7030A0"/>
                        </a:solidFill>
                        <a:ln w="9525">
                          <a:solidFill>
                            <a:srgbClr val="7030A0"/>
                          </a:solidFill>
                          <a:miter lim="800000"/>
                          <a:headEnd/>
                          <a:tailEnd/>
                        </a:ln>
                      </wps:spPr>
                      <wps:txbx>
                        <w:txbxContent>
                          <w:p w14:paraId="16C28EF0" w14:textId="1B093087" w:rsidR="002631E0" w:rsidRPr="00E4129D" w:rsidRDefault="002631E0" w:rsidP="002631E0">
                            <w:pPr>
                              <w:rPr>
                                <w:b/>
                                <w:bCs/>
                                <w:color w:val="FFFFFF" w:themeColor="background1"/>
                                <w:sz w:val="32"/>
                                <w:szCs w:val="32"/>
                              </w:rPr>
                            </w:pPr>
                            <w:r>
                              <w:rPr>
                                <w:b/>
                                <w:bCs/>
                                <w:color w:val="FFFFFF" w:themeColor="background1"/>
                                <w:sz w:val="32"/>
                                <w:szCs w:val="32"/>
                              </w:rPr>
                              <w:t xml:space="preserve">Discontinuations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2A93F" id="_x0000_s1029" type="#_x0000_t202" style="position:absolute;margin-left:0;margin-top:0;width:531pt;height:2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" fillcolor="#7030a0" strokecolor="#7030a0">
                <v:textbox>
                  <w:txbxContent>
                    <w:p w14:paraId="16C28EF0" w14:textId="1B093087" w:rsidR="002631E0" w:rsidRPr="00E4129D" w:rsidRDefault="002631E0" w:rsidP="002631E0">
                      <w:pPr>
                        <w:rPr>
                          <w:b/>
                          <w:bCs/>
                          <w:color w:val="FFFFFF" w:themeColor="background1"/>
                          <w:sz w:val="32"/>
                          <w:szCs w:val="32"/>
                        </w:rPr>
                      </w:pPr>
                      <w:r>
                        <w:rPr>
                          <w:b/>
                          <w:bCs/>
                          <w:color w:val="FFFFFF" w:themeColor="background1"/>
                          <w:sz w:val="32"/>
                          <w:szCs w:val="32"/>
                        </w:rPr>
                        <w:t xml:space="preserve">Discontinuations </w:t>
                      </w:r>
                    </w:p>
                  </w:txbxContent>
                </v:textbox>
                <w10:wrap type="square"/>
              </v:shape>
            </w:pict>
          </mc:Fallback>
        </mc:AlternateContent>
      </w:r>
      <w:bookmarkEnd w:id="19"/>
    </w:p>
    <w:p w14:paraId="31A2FDF2" w14:textId="77777777" w:rsidR="002631E0" w:rsidRPr="002631E0" w:rsidRDefault="002631E0" w:rsidP="002631E0">
      <w:pPr>
        <w:spacing w:line="360" w:lineRule="auto"/>
        <w:ind w:left="425"/>
        <w:rPr>
          <w:rFonts w:asciiTheme="minorHAnsi" w:hAnsiTheme="minorHAnsi" w:cstheme="minorHAnsi"/>
        </w:rPr>
      </w:pPr>
      <w:r w:rsidRPr="002631E0">
        <w:rPr>
          <w:rFonts w:asciiTheme="minorHAnsi" w:hAnsiTheme="minorHAnsi" w:cstheme="minorHAnsi"/>
        </w:rPr>
        <w:t xml:space="preserve">The Kent and Medway Medicines Optimisation Team would like to remind colleagues about the Medicine Supply Notification (MSN) from the DHSC on the </w:t>
      </w:r>
      <w:r w:rsidRPr="002631E0">
        <w:rPr>
          <w:rFonts w:asciiTheme="minorHAnsi" w:hAnsiTheme="minorHAnsi" w:cstheme="minorHAnsi"/>
          <w:b/>
          <w:bCs/>
        </w:rPr>
        <w:t>discontinuation</w:t>
      </w:r>
      <w:r w:rsidRPr="002631E0">
        <w:rPr>
          <w:rFonts w:asciiTheme="minorHAnsi" w:hAnsiTheme="minorHAnsi" w:cstheme="minorHAnsi"/>
        </w:rPr>
        <w:t xml:space="preserve"> of </w:t>
      </w:r>
      <w:proofErr w:type="spellStart"/>
      <w:r w:rsidRPr="002631E0">
        <w:rPr>
          <w:rFonts w:asciiTheme="minorHAnsi" w:hAnsiTheme="minorHAnsi" w:cstheme="minorHAnsi"/>
          <w:b/>
          <w:bCs/>
        </w:rPr>
        <w:t>NovoRapid</w:t>
      </w:r>
      <w:proofErr w:type="spellEnd"/>
      <w:r w:rsidRPr="002631E0">
        <w:rPr>
          <w:rFonts w:asciiTheme="minorHAnsi" w:hAnsiTheme="minorHAnsi" w:cstheme="minorHAnsi"/>
          <w:b/>
          <w:bCs/>
        </w:rPr>
        <w:t>®</w:t>
      </w:r>
      <w:r w:rsidRPr="002631E0">
        <w:rPr>
          <w:rFonts w:asciiTheme="minorHAnsi" w:hAnsiTheme="minorHAnsi" w:cstheme="minorHAnsi"/>
        </w:rPr>
        <w:t xml:space="preserve"> (insulin </w:t>
      </w:r>
      <w:proofErr w:type="spellStart"/>
      <w:r w:rsidRPr="002631E0">
        <w:rPr>
          <w:rFonts w:asciiTheme="minorHAnsi" w:hAnsiTheme="minorHAnsi" w:cstheme="minorHAnsi"/>
        </w:rPr>
        <w:t>aspart</w:t>
      </w:r>
      <w:proofErr w:type="spellEnd"/>
      <w:r w:rsidRPr="002631E0">
        <w:rPr>
          <w:rFonts w:asciiTheme="minorHAnsi" w:hAnsiTheme="minorHAnsi" w:cstheme="minorHAnsi"/>
        </w:rPr>
        <w:t xml:space="preserve">) </w:t>
      </w:r>
      <w:r w:rsidRPr="002631E0">
        <w:rPr>
          <w:rFonts w:asciiTheme="minorHAnsi" w:hAnsiTheme="minorHAnsi" w:cstheme="minorHAnsi"/>
          <w:b/>
          <w:bCs/>
        </w:rPr>
        <w:t>FlexTouch</w:t>
      </w:r>
      <w:r w:rsidRPr="002631E0">
        <w:rPr>
          <w:rFonts w:asciiTheme="minorHAnsi" w:hAnsiTheme="minorHAnsi" w:cstheme="minorHAnsi"/>
        </w:rPr>
        <w:t xml:space="preserve">® 100units/ml solution for injection 3ml pre-filled pens. Stock is anticipated to be exhausted </w:t>
      </w:r>
      <w:r w:rsidRPr="002631E0">
        <w:rPr>
          <w:rFonts w:asciiTheme="minorHAnsi" w:hAnsiTheme="minorHAnsi" w:cstheme="minorHAnsi"/>
          <w:b/>
          <w:bCs/>
        </w:rPr>
        <w:t>by March 2025</w:t>
      </w:r>
      <w:r w:rsidRPr="002631E0">
        <w:rPr>
          <w:rFonts w:asciiTheme="minorHAnsi" w:hAnsiTheme="minorHAnsi" w:cstheme="minorHAnsi"/>
        </w:rPr>
        <w:t xml:space="preserve">. </w:t>
      </w:r>
    </w:p>
    <w:p w14:paraId="54F4F080" w14:textId="77777777" w:rsidR="002631E0" w:rsidRPr="002631E0" w:rsidRDefault="002631E0" w:rsidP="002631E0">
      <w:pPr>
        <w:spacing w:line="360" w:lineRule="auto"/>
        <w:ind w:left="425"/>
        <w:rPr>
          <w:rFonts w:asciiTheme="minorHAnsi" w:hAnsiTheme="minorHAnsi" w:cstheme="minorHAnsi"/>
        </w:rPr>
      </w:pPr>
      <w:r w:rsidRPr="002631E0">
        <w:rPr>
          <w:rFonts w:asciiTheme="minorHAnsi" w:hAnsiTheme="minorHAnsi" w:cstheme="minorHAnsi"/>
        </w:rPr>
        <w:t xml:space="preserve">This MSN was issued on the 16th of October 2024 and then cascaded to all practices and PCN teams. The MSN is attached: </w:t>
      </w:r>
    </w:p>
    <w:p w14:paraId="53BB3232" w14:textId="77777777" w:rsidR="002631E0" w:rsidRPr="002631E0" w:rsidRDefault="002631E0" w:rsidP="002631E0">
      <w:pPr>
        <w:spacing w:line="360" w:lineRule="auto"/>
        <w:ind w:left="425"/>
        <w:rPr>
          <w:rFonts w:asciiTheme="minorHAnsi" w:hAnsiTheme="minorHAnsi" w:cstheme="minorHAnsi"/>
        </w:rPr>
      </w:pPr>
      <w:r w:rsidRPr="002631E0">
        <w:rPr>
          <w:rFonts w:asciiTheme="minorHAnsi" w:hAnsiTheme="minorHAnsi" w:cstheme="minorHAnsi"/>
        </w:rPr>
        <w:object w:dxaOrig="1508" w:dyaOrig="984" w14:anchorId="64C9ED57">
          <v:shape id="_x0000_i1027" type="#_x0000_t75" style="width:75pt;height:49.5pt" o:ole="">
            <v:imagedata r:id="rId39" o:title=""/>
          </v:shape>
          <o:OLEObject Type="Embed" ProgID="AcroExch.Document.DC" ShapeID="_x0000_i1027" DrawAspect="Icon" ObjectID="_1793625813" r:id="rId40"/>
        </w:object>
      </w:r>
    </w:p>
    <w:p w14:paraId="4F817DE2" w14:textId="77777777" w:rsidR="002631E0" w:rsidRPr="002631E0" w:rsidRDefault="002631E0" w:rsidP="002631E0">
      <w:pPr>
        <w:spacing w:line="360" w:lineRule="auto"/>
        <w:ind w:left="425"/>
        <w:rPr>
          <w:rFonts w:asciiTheme="minorHAnsi" w:hAnsiTheme="minorHAnsi" w:cstheme="minorHAnsi"/>
        </w:rPr>
      </w:pPr>
      <w:r w:rsidRPr="002631E0">
        <w:rPr>
          <w:rFonts w:asciiTheme="minorHAnsi" w:hAnsiTheme="minorHAnsi" w:cstheme="minorHAnsi"/>
        </w:rPr>
        <w:t xml:space="preserve">In addition to the information and actions in the MSN which should be read in full, such as </w:t>
      </w:r>
      <w:r w:rsidRPr="002631E0">
        <w:rPr>
          <w:rFonts w:asciiTheme="minorHAnsi" w:hAnsiTheme="minorHAnsi" w:cstheme="minorHAnsi"/>
          <w:highlight w:val="yellow"/>
        </w:rPr>
        <w:t>“</w:t>
      </w:r>
      <w:r w:rsidRPr="002631E0">
        <w:rPr>
          <w:rFonts w:asciiTheme="minorHAnsi" w:hAnsiTheme="minorHAnsi" w:cstheme="minorHAnsi"/>
          <w:b/>
          <w:bCs/>
          <w:highlight w:val="yellow"/>
        </w:rPr>
        <w:t>Do not initiate new patients</w:t>
      </w:r>
      <w:r w:rsidRPr="002631E0">
        <w:rPr>
          <w:rFonts w:asciiTheme="minorHAnsi" w:hAnsiTheme="minorHAnsi" w:cstheme="minorHAnsi"/>
          <w:highlight w:val="yellow"/>
        </w:rPr>
        <w:t xml:space="preserve"> on </w:t>
      </w:r>
      <w:proofErr w:type="spellStart"/>
      <w:r w:rsidRPr="002631E0">
        <w:rPr>
          <w:rFonts w:asciiTheme="minorHAnsi" w:hAnsiTheme="minorHAnsi" w:cstheme="minorHAnsi"/>
          <w:highlight w:val="yellow"/>
        </w:rPr>
        <w:t>NovoRapid</w:t>
      </w:r>
      <w:proofErr w:type="spellEnd"/>
      <w:r w:rsidRPr="002631E0">
        <w:rPr>
          <w:rFonts w:asciiTheme="minorHAnsi" w:hAnsiTheme="minorHAnsi" w:cstheme="minorHAnsi"/>
          <w:highlight w:val="yellow"/>
        </w:rPr>
        <w:t xml:space="preserve">® </w:t>
      </w:r>
      <w:r w:rsidRPr="002631E0">
        <w:rPr>
          <w:rFonts w:asciiTheme="minorHAnsi" w:hAnsiTheme="minorHAnsi" w:cstheme="minorHAnsi"/>
          <w:b/>
          <w:bCs/>
          <w:highlight w:val="yellow"/>
        </w:rPr>
        <w:t>FlexTouch</w:t>
      </w:r>
      <w:r w:rsidRPr="002631E0">
        <w:rPr>
          <w:rFonts w:asciiTheme="minorHAnsi" w:hAnsiTheme="minorHAnsi" w:cstheme="minorHAnsi"/>
          <w:highlight w:val="yellow"/>
        </w:rPr>
        <w:t>® pens”</w:t>
      </w:r>
      <w:r w:rsidRPr="002631E0">
        <w:rPr>
          <w:rFonts w:asciiTheme="minorHAnsi" w:hAnsiTheme="minorHAnsi" w:cstheme="minorHAnsi"/>
        </w:rPr>
        <w:t>, the Medicines Optimisation Team would like to supplement this with the following information:</w:t>
      </w:r>
    </w:p>
    <w:p w14:paraId="35C71926" w14:textId="77777777" w:rsidR="002631E0" w:rsidRPr="002631E0" w:rsidRDefault="002631E0" w:rsidP="002631E0">
      <w:pPr>
        <w:pStyle w:val="ListParagraph"/>
        <w:numPr>
          <w:ilvl w:val="0"/>
          <w:numId w:val="27"/>
        </w:numPr>
        <w:spacing w:after="160" w:line="360" w:lineRule="auto"/>
        <w:ind w:left="1145"/>
        <w:rPr>
          <w:rFonts w:cstheme="minorHAnsi"/>
        </w:rPr>
      </w:pPr>
      <w:r w:rsidRPr="002631E0">
        <w:rPr>
          <w:rFonts w:cstheme="minorHAnsi"/>
        </w:rPr>
        <w:t xml:space="preserve">The recommendation is that patients currently prescribed </w:t>
      </w:r>
      <w:proofErr w:type="spellStart"/>
      <w:r w:rsidRPr="002631E0">
        <w:rPr>
          <w:rFonts w:cstheme="minorHAnsi"/>
        </w:rPr>
        <w:t>NovoRapid</w:t>
      </w:r>
      <w:proofErr w:type="spellEnd"/>
      <w:r w:rsidRPr="002631E0">
        <w:rPr>
          <w:rFonts w:cstheme="minorHAnsi"/>
        </w:rPr>
        <w:t xml:space="preserve">® FlexTouch® pens are pro-actively </w:t>
      </w:r>
      <w:r w:rsidRPr="002631E0">
        <w:rPr>
          <w:rFonts w:cstheme="minorHAnsi"/>
          <w:b/>
          <w:bCs/>
          <w:highlight w:val="yellow"/>
        </w:rPr>
        <w:t xml:space="preserve">reviewed and switched to </w:t>
      </w:r>
      <w:proofErr w:type="spellStart"/>
      <w:r w:rsidRPr="002631E0">
        <w:rPr>
          <w:rFonts w:cstheme="minorHAnsi"/>
          <w:b/>
          <w:bCs/>
          <w:highlight w:val="yellow"/>
        </w:rPr>
        <w:t>Trurapi</w:t>
      </w:r>
      <w:proofErr w:type="spellEnd"/>
      <w:r w:rsidRPr="002631E0">
        <w:rPr>
          <w:rFonts w:cstheme="minorHAnsi"/>
          <w:b/>
          <w:bCs/>
          <w:highlight w:val="yellow"/>
        </w:rPr>
        <w:t>®</w:t>
      </w:r>
      <w:r w:rsidRPr="002631E0">
        <w:rPr>
          <w:rFonts w:cstheme="minorHAnsi"/>
        </w:rPr>
        <w:t xml:space="preserve">, where clinically suitable in line with NICE guidelines on an individual patient basis. </w:t>
      </w:r>
    </w:p>
    <w:p w14:paraId="321C9CAC" w14:textId="77777777" w:rsidR="002631E0" w:rsidRPr="002631E0" w:rsidRDefault="002631E0" w:rsidP="002631E0">
      <w:pPr>
        <w:pStyle w:val="ListParagraph"/>
        <w:numPr>
          <w:ilvl w:val="0"/>
          <w:numId w:val="27"/>
        </w:numPr>
        <w:spacing w:after="160" w:line="360" w:lineRule="auto"/>
        <w:ind w:left="1145"/>
        <w:rPr>
          <w:rFonts w:cstheme="minorHAnsi"/>
        </w:rPr>
      </w:pPr>
      <w:r w:rsidRPr="002631E0">
        <w:rPr>
          <w:rFonts w:cstheme="minorHAnsi"/>
        </w:rPr>
        <w:t xml:space="preserve">In Kent and Medway </w:t>
      </w:r>
      <w:proofErr w:type="spellStart"/>
      <w:r w:rsidRPr="002631E0">
        <w:rPr>
          <w:rFonts w:cstheme="minorHAnsi"/>
        </w:rPr>
        <w:t>Trurapi</w:t>
      </w:r>
      <w:proofErr w:type="spellEnd"/>
      <w:r w:rsidRPr="002631E0">
        <w:rPr>
          <w:rFonts w:cstheme="minorHAnsi"/>
        </w:rPr>
        <w:t xml:space="preserve">® is the </w:t>
      </w:r>
      <w:r w:rsidRPr="002631E0">
        <w:rPr>
          <w:rFonts w:cstheme="minorHAnsi"/>
          <w:b/>
          <w:bCs/>
        </w:rPr>
        <w:t>preferred/first-line brand</w:t>
      </w:r>
      <w:r w:rsidRPr="002631E0">
        <w:rPr>
          <w:rFonts w:cstheme="minorHAnsi"/>
        </w:rPr>
        <w:t xml:space="preserve"> of the rapid-acting insulin </w:t>
      </w:r>
      <w:proofErr w:type="spellStart"/>
      <w:r w:rsidRPr="002631E0">
        <w:rPr>
          <w:rFonts w:cstheme="minorHAnsi"/>
        </w:rPr>
        <w:t>aspart</w:t>
      </w:r>
      <w:proofErr w:type="spellEnd"/>
      <w:r w:rsidRPr="002631E0">
        <w:rPr>
          <w:rFonts w:cstheme="minorHAnsi"/>
        </w:rPr>
        <w:t xml:space="preserve">, in view of the cost to the NHS because of the potential cost savings from using </w:t>
      </w:r>
      <w:proofErr w:type="spellStart"/>
      <w:r w:rsidRPr="002631E0">
        <w:rPr>
          <w:rFonts w:cstheme="minorHAnsi"/>
        </w:rPr>
        <w:t>Trurapi</w:t>
      </w:r>
      <w:proofErr w:type="spellEnd"/>
      <w:r w:rsidRPr="002631E0">
        <w:rPr>
          <w:rFonts w:cstheme="minorHAnsi"/>
        </w:rPr>
        <w:t xml:space="preserve">® instead of </w:t>
      </w:r>
      <w:proofErr w:type="spellStart"/>
      <w:r w:rsidRPr="002631E0">
        <w:rPr>
          <w:rFonts w:cstheme="minorHAnsi"/>
        </w:rPr>
        <w:t>NovoRapid</w:t>
      </w:r>
      <w:proofErr w:type="spellEnd"/>
      <w:r w:rsidRPr="002631E0">
        <w:rPr>
          <w:rFonts w:cstheme="minorHAnsi"/>
        </w:rPr>
        <w:t>®. This is in line with NICE guidance, NHS England, and Kent and Medway PRGC Policy Recommendations in relation to biosimilar medicines.</w:t>
      </w:r>
    </w:p>
    <w:p w14:paraId="0EB35279" w14:textId="77777777" w:rsidR="002631E0" w:rsidRPr="002631E0" w:rsidRDefault="002631E0" w:rsidP="002631E0">
      <w:pPr>
        <w:pStyle w:val="ListParagraph"/>
        <w:numPr>
          <w:ilvl w:val="0"/>
          <w:numId w:val="27"/>
        </w:numPr>
        <w:spacing w:after="160" w:line="360" w:lineRule="auto"/>
        <w:ind w:left="1145"/>
        <w:rPr>
          <w:rFonts w:cstheme="minorHAnsi"/>
        </w:rPr>
      </w:pPr>
      <w:proofErr w:type="spellStart"/>
      <w:r w:rsidRPr="002631E0">
        <w:rPr>
          <w:rFonts w:cstheme="minorHAnsi"/>
        </w:rPr>
        <w:t>Trurapi</w:t>
      </w:r>
      <w:proofErr w:type="spellEnd"/>
      <w:r w:rsidRPr="002631E0">
        <w:rPr>
          <w:rFonts w:cstheme="minorHAnsi"/>
        </w:rPr>
        <w:t xml:space="preserve">® is a </w:t>
      </w:r>
      <w:r w:rsidRPr="002631E0">
        <w:rPr>
          <w:rFonts w:cstheme="minorHAnsi"/>
          <w:b/>
          <w:bCs/>
        </w:rPr>
        <w:t>biosimilar insulin</w:t>
      </w:r>
      <w:r w:rsidRPr="002631E0">
        <w:rPr>
          <w:rFonts w:cstheme="minorHAnsi"/>
        </w:rPr>
        <w:t xml:space="preserve"> of the originator insulin, </w:t>
      </w:r>
      <w:proofErr w:type="spellStart"/>
      <w:r w:rsidRPr="002631E0">
        <w:rPr>
          <w:rFonts w:cstheme="minorHAnsi"/>
        </w:rPr>
        <w:t>NovoRapid</w:t>
      </w:r>
      <w:proofErr w:type="spellEnd"/>
      <w:r w:rsidRPr="002631E0">
        <w:rPr>
          <w:rFonts w:cstheme="minorHAnsi"/>
        </w:rPr>
        <w:t xml:space="preserve">®. </w:t>
      </w:r>
      <w:proofErr w:type="spellStart"/>
      <w:r w:rsidRPr="002631E0">
        <w:rPr>
          <w:rFonts w:cstheme="minorHAnsi"/>
        </w:rPr>
        <w:t>Trurapi</w:t>
      </w:r>
      <w:proofErr w:type="spellEnd"/>
      <w:r w:rsidRPr="002631E0">
        <w:rPr>
          <w:rFonts w:cstheme="minorHAnsi"/>
        </w:rPr>
        <w:t xml:space="preserve">® has been shown to be equivalent to </w:t>
      </w:r>
      <w:proofErr w:type="spellStart"/>
      <w:r w:rsidRPr="002631E0">
        <w:rPr>
          <w:rFonts w:cstheme="minorHAnsi"/>
        </w:rPr>
        <w:t>NovoRapid</w:t>
      </w:r>
      <w:proofErr w:type="spellEnd"/>
      <w:r w:rsidRPr="002631E0">
        <w:rPr>
          <w:rFonts w:cstheme="minorHAnsi"/>
        </w:rPr>
        <w:t>® in its pharmacokinetic and pharmacodynamic properties.</w:t>
      </w:r>
    </w:p>
    <w:p w14:paraId="106F9339" w14:textId="77777777" w:rsidR="002631E0" w:rsidRPr="002631E0" w:rsidRDefault="002631E0" w:rsidP="002631E0">
      <w:pPr>
        <w:pStyle w:val="ListParagraph"/>
        <w:numPr>
          <w:ilvl w:val="0"/>
          <w:numId w:val="27"/>
        </w:numPr>
        <w:spacing w:after="160" w:line="360" w:lineRule="auto"/>
        <w:ind w:left="1080"/>
        <w:rPr>
          <w:rFonts w:cstheme="minorHAnsi"/>
        </w:rPr>
      </w:pPr>
      <w:proofErr w:type="spellStart"/>
      <w:r w:rsidRPr="002631E0">
        <w:rPr>
          <w:rFonts w:cstheme="minorHAnsi"/>
        </w:rPr>
        <w:t>Trurapi</w:t>
      </w:r>
      <w:proofErr w:type="spellEnd"/>
      <w:r w:rsidRPr="002631E0">
        <w:rPr>
          <w:rFonts w:cstheme="minorHAnsi"/>
        </w:rPr>
        <w:t>® is licensed, identically to the originator insulin (</w:t>
      </w:r>
      <w:proofErr w:type="spellStart"/>
      <w:r w:rsidRPr="002631E0">
        <w:rPr>
          <w:rFonts w:cstheme="minorHAnsi"/>
        </w:rPr>
        <w:t>NovoRapid</w:t>
      </w:r>
      <w:proofErr w:type="spellEnd"/>
      <w:r w:rsidRPr="002631E0">
        <w:rPr>
          <w:rFonts w:cstheme="minorHAnsi"/>
        </w:rPr>
        <w:t xml:space="preserve">®), for the treatment of type 1 and type 2 diabetes mellitus in adults, adolescents and children aged 1 year and above. </w:t>
      </w:r>
      <w:proofErr w:type="spellStart"/>
      <w:r w:rsidRPr="002631E0">
        <w:rPr>
          <w:rFonts w:cstheme="minorHAnsi"/>
        </w:rPr>
        <w:t>Trurapi</w:t>
      </w:r>
      <w:proofErr w:type="spellEnd"/>
      <w:r w:rsidRPr="002631E0">
        <w:rPr>
          <w:rFonts w:cstheme="minorHAnsi"/>
        </w:rPr>
        <w:t xml:space="preserve"> is not licensed for children under 1 year old (exclusion).</w:t>
      </w:r>
    </w:p>
    <w:p w14:paraId="236FAC14" w14:textId="77777777" w:rsidR="002631E0" w:rsidRPr="002631E0" w:rsidRDefault="002631E0" w:rsidP="002631E0">
      <w:pPr>
        <w:pStyle w:val="ListParagraph"/>
        <w:numPr>
          <w:ilvl w:val="0"/>
          <w:numId w:val="27"/>
        </w:numPr>
        <w:spacing w:after="160" w:line="360" w:lineRule="auto"/>
        <w:ind w:left="1080"/>
        <w:rPr>
          <w:rFonts w:cstheme="minorHAnsi"/>
        </w:rPr>
      </w:pPr>
      <w:r w:rsidRPr="002631E0">
        <w:rPr>
          <w:rFonts w:cstheme="minorHAnsi"/>
        </w:rPr>
        <w:t xml:space="preserve">For any patients where switching to either the first line alternative </w:t>
      </w:r>
      <w:proofErr w:type="spellStart"/>
      <w:r w:rsidRPr="002631E0">
        <w:rPr>
          <w:rFonts w:cstheme="minorHAnsi"/>
        </w:rPr>
        <w:t>Trurapi</w:t>
      </w:r>
      <w:proofErr w:type="spellEnd"/>
      <w:r w:rsidRPr="002631E0">
        <w:rPr>
          <w:rFonts w:cstheme="minorHAnsi"/>
        </w:rPr>
        <w:t xml:space="preserve">®, or to an alternative </w:t>
      </w:r>
      <w:proofErr w:type="spellStart"/>
      <w:r w:rsidRPr="002631E0">
        <w:rPr>
          <w:rFonts w:cstheme="minorHAnsi"/>
        </w:rPr>
        <w:t>NovoRapid</w:t>
      </w:r>
      <w:proofErr w:type="spellEnd"/>
      <w:r w:rsidRPr="002631E0">
        <w:rPr>
          <w:rFonts w:cstheme="minorHAnsi"/>
        </w:rPr>
        <w:t xml:space="preserve">® preparation (pre-filled </w:t>
      </w:r>
      <w:proofErr w:type="spellStart"/>
      <w:r w:rsidRPr="002631E0">
        <w:rPr>
          <w:rFonts w:cstheme="minorHAnsi"/>
        </w:rPr>
        <w:t>FlexPen</w:t>
      </w:r>
      <w:proofErr w:type="spellEnd"/>
      <w:r w:rsidRPr="002631E0">
        <w:rPr>
          <w:rFonts w:cstheme="minorHAnsi"/>
        </w:rPr>
        <w:t xml:space="preserve"> or cartridge) as the second line option, is not suitable please seek advice from the patient’s specialist diabetes team for advice on alternatives.</w:t>
      </w:r>
    </w:p>
    <w:p w14:paraId="0E2941DA" w14:textId="77777777" w:rsidR="002631E0" w:rsidRPr="002631E0" w:rsidRDefault="002631E0" w:rsidP="002631E0">
      <w:pPr>
        <w:pStyle w:val="ListParagraph"/>
        <w:numPr>
          <w:ilvl w:val="0"/>
          <w:numId w:val="27"/>
        </w:numPr>
        <w:spacing w:after="160" w:line="360" w:lineRule="auto"/>
        <w:ind w:left="1080"/>
        <w:rPr>
          <w:rFonts w:cstheme="minorHAnsi"/>
        </w:rPr>
      </w:pPr>
      <w:proofErr w:type="spellStart"/>
      <w:r w:rsidRPr="002631E0">
        <w:rPr>
          <w:rFonts w:cstheme="minorHAnsi"/>
        </w:rPr>
        <w:t>Fiasp</w:t>
      </w:r>
      <w:proofErr w:type="spellEnd"/>
      <w:r w:rsidRPr="002631E0">
        <w:rPr>
          <w:rFonts w:cstheme="minorHAnsi"/>
        </w:rPr>
        <w:t xml:space="preserve">®, a newer formulation of the insulin </w:t>
      </w:r>
      <w:proofErr w:type="spellStart"/>
      <w:r w:rsidRPr="002631E0">
        <w:rPr>
          <w:rFonts w:cstheme="minorHAnsi"/>
        </w:rPr>
        <w:t>aspart</w:t>
      </w:r>
      <w:proofErr w:type="spellEnd"/>
      <w:r w:rsidRPr="002631E0">
        <w:rPr>
          <w:rFonts w:cstheme="minorHAnsi"/>
        </w:rPr>
        <w:t xml:space="preserve"> product </w:t>
      </w:r>
      <w:proofErr w:type="spellStart"/>
      <w:r w:rsidRPr="002631E0">
        <w:rPr>
          <w:rFonts w:cstheme="minorHAnsi"/>
        </w:rPr>
        <w:t>NovoRapid</w:t>
      </w:r>
      <w:proofErr w:type="spellEnd"/>
      <w:r w:rsidRPr="002631E0">
        <w:rPr>
          <w:rFonts w:cstheme="minorHAnsi"/>
        </w:rPr>
        <w:t xml:space="preserve">®, is not listed as an alternative in the national advice in the MSN. </w:t>
      </w:r>
      <w:r w:rsidRPr="002631E0">
        <w:rPr>
          <w:rFonts w:cstheme="minorHAnsi"/>
          <w:highlight w:val="yellow"/>
        </w:rPr>
        <w:t xml:space="preserve">Please note that </w:t>
      </w:r>
      <w:proofErr w:type="spellStart"/>
      <w:r w:rsidRPr="002631E0">
        <w:rPr>
          <w:rFonts w:cstheme="minorHAnsi"/>
          <w:highlight w:val="yellow"/>
        </w:rPr>
        <w:t>Fiasp</w:t>
      </w:r>
      <w:proofErr w:type="spellEnd"/>
      <w:r w:rsidRPr="002631E0">
        <w:rPr>
          <w:rFonts w:cstheme="minorHAnsi"/>
          <w:highlight w:val="yellow"/>
        </w:rPr>
        <w:t xml:space="preserve">® and </w:t>
      </w:r>
      <w:proofErr w:type="spellStart"/>
      <w:r w:rsidRPr="002631E0">
        <w:rPr>
          <w:rFonts w:cstheme="minorHAnsi"/>
          <w:highlight w:val="yellow"/>
        </w:rPr>
        <w:t>NovoRapid</w:t>
      </w:r>
      <w:proofErr w:type="spellEnd"/>
      <w:r w:rsidRPr="002631E0">
        <w:rPr>
          <w:rFonts w:cstheme="minorHAnsi"/>
          <w:highlight w:val="yellow"/>
        </w:rPr>
        <w:t xml:space="preserve"> are </w:t>
      </w:r>
      <w:r w:rsidRPr="002631E0">
        <w:rPr>
          <w:rFonts w:cstheme="minorHAnsi"/>
          <w:b/>
          <w:bCs/>
          <w:highlight w:val="yellow"/>
        </w:rPr>
        <w:t>not interchangeable</w:t>
      </w:r>
      <w:r w:rsidRPr="002631E0">
        <w:rPr>
          <w:rFonts w:cstheme="minorHAnsi"/>
          <w:highlight w:val="yellow"/>
        </w:rPr>
        <w:t xml:space="preserve"> due to differences in bioavailability; </w:t>
      </w:r>
      <w:proofErr w:type="spellStart"/>
      <w:r w:rsidRPr="002631E0">
        <w:rPr>
          <w:rFonts w:cstheme="minorHAnsi"/>
          <w:highlight w:val="yellow"/>
        </w:rPr>
        <w:t>Fiasp</w:t>
      </w:r>
      <w:proofErr w:type="spellEnd"/>
      <w:r w:rsidRPr="002631E0">
        <w:rPr>
          <w:rFonts w:cstheme="minorHAnsi"/>
          <w:highlight w:val="yellow"/>
        </w:rPr>
        <w:t>® has a quicker onset of action and shorter duration. Therefore, a switch to this product is not recommended without specialist input.</w:t>
      </w:r>
      <w:r w:rsidRPr="002631E0">
        <w:rPr>
          <w:rFonts w:cstheme="minorHAnsi"/>
        </w:rPr>
        <w:t xml:space="preserve"> </w:t>
      </w:r>
    </w:p>
    <w:p w14:paraId="5FCFFFB7" w14:textId="77777777" w:rsidR="002631E0" w:rsidRPr="002631E0" w:rsidRDefault="002631E0" w:rsidP="002631E0">
      <w:pPr>
        <w:spacing w:line="360" w:lineRule="auto"/>
        <w:ind w:left="360"/>
        <w:rPr>
          <w:rFonts w:asciiTheme="minorHAnsi" w:hAnsiTheme="minorHAnsi" w:cstheme="minorHAnsi"/>
          <w:b/>
          <w:bCs/>
        </w:rPr>
      </w:pPr>
      <w:r w:rsidRPr="002631E0">
        <w:rPr>
          <w:rFonts w:asciiTheme="minorHAnsi" w:hAnsiTheme="minorHAnsi" w:cstheme="minorHAnsi"/>
          <w:b/>
          <w:bCs/>
        </w:rPr>
        <w:lastRenderedPageBreak/>
        <w:t>Preparations &amp; Dosing</w:t>
      </w:r>
    </w:p>
    <w:p w14:paraId="4992002C" w14:textId="77777777" w:rsidR="002631E0" w:rsidRPr="002631E0" w:rsidRDefault="002631E0" w:rsidP="002631E0">
      <w:pPr>
        <w:pStyle w:val="ListParagraph"/>
        <w:numPr>
          <w:ilvl w:val="0"/>
          <w:numId w:val="27"/>
        </w:numPr>
        <w:spacing w:after="160" w:line="360" w:lineRule="auto"/>
        <w:ind w:left="1080"/>
        <w:rPr>
          <w:rFonts w:cstheme="minorHAnsi"/>
        </w:rPr>
      </w:pPr>
      <w:proofErr w:type="spellStart"/>
      <w:r w:rsidRPr="002631E0">
        <w:rPr>
          <w:rFonts w:cstheme="minorHAnsi"/>
        </w:rPr>
        <w:t>Trurapi</w:t>
      </w:r>
      <w:proofErr w:type="spellEnd"/>
      <w:r w:rsidRPr="002631E0">
        <w:rPr>
          <w:rFonts w:cstheme="minorHAnsi"/>
        </w:rPr>
        <w:t xml:space="preserve">® is available as: </w:t>
      </w:r>
    </w:p>
    <w:p w14:paraId="011D7905" w14:textId="77777777" w:rsidR="002631E0" w:rsidRPr="002631E0" w:rsidRDefault="002631E0" w:rsidP="002631E0">
      <w:pPr>
        <w:pStyle w:val="ListParagraph"/>
        <w:numPr>
          <w:ilvl w:val="0"/>
          <w:numId w:val="28"/>
        </w:numPr>
        <w:spacing w:after="160" w:line="360" w:lineRule="auto"/>
        <w:ind w:left="1440"/>
        <w:rPr>
          <w:rFonts w:cstheme="minorHAnsi"/>
        </w:rPr>
      </w:pPr>
      <w:r w:rsidRPr="002631E0">
        <w:rPr>
          <w:rFonts w:cstheme="minorHAnsi"/>
        </w:rPr>
        <w:t xml:space="preserve">100units/ml solution for injection in 3ml pre-filled </w:t>
      </w:r>
      <w:proofErr w:type="spellStart"/>
      <w:r w:rsidRPr="002631E0">
        <w:rPr>
          <w:rFonts w:cstheme="minorHAnsi"/>
          <w:b/>
          <w:bCs/>
        </w:rPr>
        <w:t>SoloStar</w:t>
      </w:r>
      <w:proofErr w:type="spellEnd"/>
      <w:r w:rsidRPr="002631E0">
        <w:rPr>
          <w:rFonts w:cstheme="minorHAnsi"/>
          <w:b/>
          <w:bCs/>
        </w:rPr>
        <w:t>® pens</w:t>
      </w:r>
      <w:r w:rsidRPr="002631E0">
        <w:rPr>
          <w:rFonts w:cstheme="minorHAnsi"/>
        </w:rPr>
        <w:t xml:space="preserve"> </w:t>
      </w:r>
    </w:p>
    <w:p w14:paraId="62B870E8" w14:textId="77777777" w:rsidR="002631E0" w:rsidRPr="002631E0" w:rsidRDefault="002631E0" w:rsidP="002631E0">
      <w:pPr>
        <w:pStyle w:val="ListParagraph"/>
        <w:numPr>
          <w:ilvl w:val="1"/>
          <w:numId w:val="28"/>
        </w:numPr>
        <w:spacing w:after="160" w:line="360" w:lineRule="auto"/>
        <w:ind w:left="2160"/>
        <w:rPr>
          <w:rFonts w:cstheme="minorHAnsi"/>
        </w:rPr>
      </w:pPr>
      <w:proofErr w:type="spellStart"/>
      <w:r w:rsidRPr="002631E0">
        <w:rPr>
          <w:rFonts w:cstheme="minorHAnsi"/>
        </w:rPr>
        <w:t>NovoRapid</w:t>
      </w:r>
      <w:proofErr w:type="spellEnd"/>
      <w:r w:rsidRPr="002631E0">
        <w:rPr>
          <w:rFonts w:cstheme="minorHAnsi"/>
        </w:rPr>
        <w:t>® FlexTouch® pen delivers 1 to 80 units in 1-unit increments</w:t>
      </w:r>
    </w:p>
    <w:p w14:paraId="58D0680C" w14:textId="77777777" w:rsidR="002631E0" w:rsidRPr="002631E0" w:rsidRDefault="002631E0" w:rsidP="002631E0">
      <w:pPr>
        <w:pStyle w:val="ListParagraph"/>
        <w:numPr>
          <w:ilvl w:val="1"/>
          <w:numId w:val="28"/>
        </w:numPr>
        <w:spacing w:after="160" w:line="360" w:lineRule="auto"/>
        <w:ind w:left="2160"/>
        <w:rPr>
          <w:rFonts w:cstheme="minorHAnsi"/>
        </w:rPr>
      </w:pPr>
      <w:proofErr w:type="spellStart"/>
      <w:r w:rsidRPr="002631E0">
        <w:rPr>
          <w:rFonts w:cstheme="minorHAnsi"/>
        </w:rPr>
        <w:t>Trurapi</w:t>
      </w:r>
      <w:proofErr w:type="spellEnd"/>
      <w:r w:rsidRPr="002631E0">
        <w:rPr>
          <w:rFonts w:cstheme="minorHAnsi"/>
        </w:rPr>
        <w:t xml:space="preserve">® in pre-filled pen delivers 1 to 80 units in 1-unit increments. </w:t>
      </w:r>
    </w:p>
    <w:p w14:paraId="4E346BA6" w14:textId="77777777" w:rsidR="002631E0" w:rsidRPr="002631E0" w:rsidRDefault="002631E0" w:rsidP="002631E0">
      <w:pPr>
        <w:pStyle w:val="ListParagraph"/>
        <w:numPr>
          <w:ilvl w:val="0"/>
          <w:numId w:val="28"/>
        </w:numPr>
        <w:spacing w:after="160" w:line="360" w:lineRule="auto"/>
        <w:ind w:left="1440"/>
        <w:rPr>
          <w:rFonts w:cstheme="minorHAnsi"/>
        </w:rPr>
      </w:pPr>
      <w:r w:rsidRPr="002631E0">
        <w:rPr>
          <w:rFonts w:cstheme="minorHAnsi"/>
        </w:rPr>
        <w:t xml:space="preserve">100units/ml 3ml </w:t>
      </w:r>
      <w:r w:rsidRPr="002631E0">
        <w:rPr>
          <w:rFonts w:cstheme="minorHAnsi"/>
          <w:b/>
          <w:bCs/>
        </w:rPr>
        <w:t>cartridges</w:t>
      </w:r>
      <w:r w:rsidRPr="002631E0">
        <w:rPr>
          <w:rFonts w:cstheme="minorHAnsi"/>
        </w:rPr>
        <w:t xml:space="preserve">, designated to be used in the following pens available in the UK: </w:t>
      </w:r>
    </w:p>
    <w:p w14:paraId="4C12B099" w14:textId="77777777" w:rsidR="002631E0" w:rsidRPr="002631E0" w:rsidRDefault="002631E0" w:rsidP="002631E0">
      <w:pPr>
        <w:pStyle w:val="ListParagraph"/>
        <w:numPr>
          <w:ilvl w:val="0"/>
          <w:numId w:val="29"/>
        </w:numPr>
        <w:spacing w:after="160" w:line="360" w:lineRule="auto"/>
        <w:ind w:left="2160"/>
        <w:rPr>
          <w:rFonts w:cstheme="minorHAnsi"/>
        </w:rPr>
      </w:pPr>
      <w:proofErr w:type="spellStart"/>
      <w:r w:rsidRPr="002631E0">
        <w:rPr>
          <w:rFonts w:cstheme="minorHAnsi"/>
        </w:rPr>
        <w:t>AllStar</w:t>
      </w:r>
      <w:proofErr w:type="spellEnd"/>
      <w:r w:rsidRPr="002631E0">
        <w:rPr>
          <w:rFonts w:cstheme="minorHAnsi"/>
        </w:rPr>
        <w:t xml:space="preserve">® PRO, delivers 1 to 80 units in 1-unit dose increments </w:t>
      </w:r>
    </w:p>
    <w:p w14:paraId="040DA9A3" w14:textId="77777777" w:rsidR="002631E0" w:rsidRPr="002631E0" w:rsidRDefault="002631E0" w:rsidP="002631E0">
      <w:pPr>
        <w:pStyle w:val="ListParagraph"/>
        <w:numPr>
          <w:ilvl w:val="0"/>
          <w:numId w:val="29"/>
        </w:numPr>
        <w:spacing w:after="160" w:line="360" w:lineRule="auto"/>
        <w:ind w:left="2160"/>
        <w:rPr>
          <w:rFonts w:cstheme="minorHAnsi"/>
        </w:rPr>
      </w:pPr>
      <w:proofErr w:type="spellStart"/>
      <w:r w:rsidRPr="002631E0">
        <w:rPr>
          <w:rFonts w:cstheme="minorHAnsi"/>
        </w:rPr>
        <w:t>JuniorSTAR</w:t>
      </w:r>
      <w:proofErr w:type="spellEnd"/>
      <w:r w:rsidRPr="002631E0">
        <w:rPr>
          <w:rFonts w:cstheme="minorHAnsi"/>
        </w:rPr>
        <w:t>®, delivers 1 to 30 units in 0.5-unit dose increments.</w:t>
      </w:r>
    </w:p>
    <w:p w14:paraId="1B3193B4" w14:textId="77777777" w:rsidR="002631E0" w:rsidRPr="002631E0" w:rsidRDefault="002631E0" w:rsidP="002631E0">
      <w:pPr>
        <w:pStyle w:val="ListParagraph"/>
        <w:numPr>
          <w:ilvl w:val="0"/>
          <w:numId w:val="27"/>
        </w:numPr>
        <w:spacing w:after="160" w:line="360" w:lineRule="auto"/>
        <w:ind w:left="1080"/>
        <w:rPr>
          <w:rFonts w:cstheme="minorHAnsi"/>
        </w:rPr>
      </w:pPr>
      <w:r w:rsidRPr="002631E0">
        <w:rPr>
          <w:rFonts w:cstheme="minorHAnsi"/>
        </w:rPr>
        <w:t>Both pens and cartridges remain available and can support a full increase in demand.</w:t>
      </w:r>
    </w:p>
    <w:p w14:paraId="57FC30CA" w14:textId="77777777" w:rsidR="002631E0" w:rsidRPr="002631E0" w:rsidRDefault="002631E0" w:rsidP="002631E0">
      <w:pPr>
        <w:pStyle w:val="ListParagraph"/>
        <w:numPr>
          <w:ilvl w:val="0"/>
          <w:numId w:val="27"/>
        </w:numPr>
        <w:spacing w:after="160" w:line="360" w:lineRule="auto"/>
        <w:ind w:left="1080"/>
        <w:rPr>
          <w:rFonts w:cstheme="minorHAnsi"/>
        </w:rPr>
      </w:pPr>
      <w:r w:rsidRPr="002631E0">
        <w:rPr>
          <w:rFonts w:cstheme="minorHAnsi"/>
          <w:highlight w:val="yellow"/>
        </w:rPr>
        <w:t xml:space="preserve">When switching between </w:t>
      </w:r>
      <w:proofErr w:type="spellStart"/>
      <w:r w:rsidRPr="002631E0">
        <w:rPr>
          <w:rFonts w:cstheme="minorHAnsi"/>
          <w:highlight w:val="yellow"/>
        </w:rPr>
        <w:t>NovoRapid</w:t>
      </w:r>
      <w:proofErr w:type="spellEnd"/>
      <w:r w:rsidRPr="002631E0">
        <w:rPr>
          <w:rFonts w:cstheme="minorHAnsi"/>
          <w:highlight w:val="yellow"/>
        </w:rPr>
        <w:t xml:space="preserve">® and </w:t>
      </w:r>
      <w:proofErr w:type="spellStart"/>
      <w:r w:rsidRPr="002631E0">
        <w:rPr>
          <w:rFonts w:cstheme="minorHAnsi"/>
          <w:highlight w:val="yellow"/>
        </w:rPr>
        <w:t>Trurapi</w:t>
      </w:r>
      <w:proofErr w:type="spellEnd"/>
      <w:r w:rsidRPr="002631E0">
        <w:rPr>
          <w:rFonts w:cstheme="minorHAnsi"/>
          <w:highlight w:val="yellow"/>
        </w:rPr>
        <w:t xml:space="preserve">® it is a </w:t>
      </w:r>
      <w:proofErr w:type="spellStart"/>
      <w:proofErr w:type="gramStart"/>
      <w:r w:rsidRPr="002631E0">
        <w:rPr>
          <w:rFonts w:cstheme="minorHAnsi"/>
          <w:b/>
          <w:bCs/>
          <w:highlight w:val="yellow"/>
        </w:rPr>
        <w:t>unit:unit</w:t>
      </w:r>
      <w:proofErr w:type="spellEnd"/>
      <w:proofErr w:type="gramEnd"/>
      <w:r w:rsidRPr="002631E0">
        <w:rPr>
          <w:rFonts w:cstheme="minorHAnsi"/>
          <w:b/>
          <w:bCs/>
          <w:highlight w:val="yellow"/>
        </w:rPr>
        <w:t xml:space="preserve"> conversion</w:t>
      </w:r>
      <w:r w:rsidRPr="002631E0">
        <w:rPr>
          <w:rFonts w:cstheme="minorHAnsi"/>
          <w:highlight w:val="yellow"/>
        </w:rPr>
        <w:t>,</w:t>
      </w:r>
      <w:r w:rsidRPr="002631E0">
        <w:rPr>
          <w:rFonts w:cstheme="minorHAnsi"/>
          <w:b/>
          <w:bCs/>
          <w:highlight w:val="yellow"/>
        </w:rPr>
        <w:t xml:space="preserve"> </w:t>
      </w:r>
      <w:r w:rsidRPr="002631E0">
        <w:rPr>
          <w:rFonts w:cstheme="minorHAnsi"/>
          <w:highlight w:val="yellow"/>
        </w:rPr>
        <w:t>i.e.</w:t>
      </w:r>
      <w:r w:rsidRPr="002631E0">
        <w:rPr>
          <w:rFonts w:cstheme="minorHAnsi"/>
          <w:b/>
          <w:bCs/>
          <w:highlight w:val="yellow"/>
        </w:rPr>
        <w:t xml:space="preserve"> prescribe a 1:1 dose.</w:t>
      </w:r>
      <w:r w:rsidRPr="002631E0">
        <w:rPr>
          <w:rFonts w:cstheme="minorHAnsi"/>
        </w:rPr>
        <w:t xml:space="preserve"> </w:t>
      </w:r>
    </w:p>
    <w:p w14:paraId="00E88B68" w14:textId="77777777" w:rsidR="002631E0" w:rsidRPr="002631E0" w:rsidRDefault="002631E0" w:rsidP="002631E0">
      <w:pPr>
        <w:spacing w:line="360" w:lineRule="auto"/>
        <w:ind w:left="360"/>
        <w:rPr>
          <w:rFonts w:asciiTheme="minorHAnsi" w:hAnsiTheme="minorHAnsi" w:cstheme="minorHAnsi"/>
          <w:b/>
          <w:bCs/>
        </w:rPr>
      </w:pPr>
      <w:r w:rsidRPr="002631E0">
        <w:rPr>
          <w:rFonts w:asciiTheme="minorHAnsi" w:hAnsiTheme="minorHAnsi" w:cstheme="minorHAnsi"/>
          <w:b/>
          <w:bCs/>
        </w:rPr>
        <w:t>Monitoring</w:t>
      </w:r>
    </w:p>
    <w:p w14:paraId="7438B5F9" w14:textId="77777777" w:rsidR="002631E0" w:rsidRPr="002631E0" w:rsidRDefault="002631E0" w:rsidP="002631E0">
      <w:pPr>
        <w:pStyle w:val="ListParagraph"/>
        <w:numPr>
          <w:ilvl w:val="0"/>
          <w:numId w:val="27"/>
        </w:numPr>
        <w:spacing w:after="160" w:line="360" w:lineRule="auto"/>
        <w:ind w:left="1080"/>
        <w:rPr>
          <w:rFonts w:cstheme="minorHAnsi"/>
        </w:rPr>
      </w:pPr>
      <w:r w:rsidRPr="002631E0">
        <w:rPr>
          <w:rFonts w:cstheme="minorHAnsi"/>
        </w:rPr>
        <w:t xml:space="preserve">As a precaution, advise closer monitoring of blood glucose levels required initially, and dose may need to be adjusted if required (see supporting information in MSN). </w:t>
      </w:r>
    </w:p>
    <w:p w14:paraId="3EA9FD35" w14:textId="77777777" w:rsidR="002631E0" w:rsidRPr="002631E0" w:rsidRDefault="002631E0" w:rsidP="002631E0">
      <w:pPr>
        <w:pStyle w:val="ListParagraph"/>
        <w:numPr>
          <w:ilvl w:val="0"/>
          <w:numId w:val="27"/>
        </w:numPr>
        <w:spacing w:after="160" w:line="360" w:lineRule="auto"/>
        <w:ind w:left="1080"/>
        <w:rPr>
          <w:rFonts w:cstheme="minorHAnsi"/>
        </w:rPr>
      </w:pPr>
      <w:r w:rsidRPr="002631E0">
        <w:rPr>
          <w:rFonts w:cstheme="minorHAnsi"/>
        </w:rPr>
        <w:t>In the event of concerns with new glucose excursions (high or low glucose readings), the patient should be advised to seek advice from their specialist diabetes team.</w:t>
      </w:r>
    </w:p>
    <w:p w14:paraId="1A63A0EA" w14:textId="77777777" w:rsidR="002631E0" w:rsidRPr="002631E0" w:rsidRDefault="002631E0" w:rsidP="002631E0">
      <w:pPr>
        <w:spacing w:line="360" w:lineRule="auto"/>
        <w:ind w:left="360"/>
        <w:rPr>
          <w:rFonts w:asciiTheme="minorHAnsi" w:hAnsiTheme="minorHAnsi" w:cstheme="minorHAnsi"/>
          <w:b/>
          <w:bCs/>
        </w:rPr>
      </w:pPr>
      <w:r w:rsidRPr="002631E0">
        <w:rPr>
          <w:rFonts w:asciiTheme="minorHAnsi" w:hAnsiTheme="minorHAnsi" w:cstheme="minorHAnsi"/>
          <w:b/>
          <w:bCs/>
        </w:rPr>
        <w:t>Counselling</w:t>
      </w:r>
    </w:p>
    <w:p w14:paraId="7B20EF7F" w14:textId="77777777" w:rsidR="002631E0" w:rsidRPr="002631E0" w:rsidRDefault="002631E0" w:rsidP="002631E0">
      <w:pPr>
        <w:pStyle w:val="ListParagraph"/>
        <w:numPr>
          <w:ilvl w:val="0"/>
          <w:numId w:val="27"/>
        </w:numPr>
        <w:spacing w:after="160" w:line="360" w:lineRule="auto"/>
        <w:ind w:left="1080"/>
        <w:rPr>
          <w:rFonts w:cstheme="minorHAnsi"/>
        </w:rPr>
      </w:pPr>
      <w:r w:rsidRPr="002631E0">
        <w:rPr>
          <w:rFonts w:cstheme="minorHAnsi"/>
        </w:rPr>
        <w:t>When switching a patient’s insulin, ensure that the patient is informed of the reason for the switch, provided with appropriate counselling, education and training to ensure they can use the new device correctly and administer the correct dose, considering manual dexterity, vision, and whether additional support is required for administration (see supporting information in MSN).</w:t>
      </w:r>
    </w:p>
    <w:p w14:paraId="3990C7B5" w14:textId="77777777" w:rsidR="002631E0" w:rsidRPr="002631E0" w:rsidRDefault="002631E0" w:rsidP="002631E0">
      <w:pPr>
        <w:spacing w:line="360" w:lineRule="auto"/>
        <w:ind w:left="360"/>
        <w:rPr>
          <w:rFonts w:asciiTheme="minorHAnsi" w:hAnsiTheme="minorHAnsi" w:cstheme="minorHAnsi"/>
          <w:b/>
          <w:bCs/>
        </w:rPr>
      </w:pPr>
      <w:r w:rsidRPr="002631E0">
        <w:rPr>
          <w:rFonts w:asciiTheme="minorHAnsi" w:hAnsiTheme="minorHAnsi" w:cstheme="minorHAnsi"/>
          <w:b/>
          <w:bCs/>
        </w:rPr>
        <w:t>Local Resources</w:t>
      </w:r>
    </w:p>
    <w:p w14:paraId="024A4C3D" w14:textId="77777777" w:rsidR="002631E0" w:rsidRPr="002631E0" w:rsidRDefault="002631E0" w:rsidP="002631E0">
      <w:pPr>
        <w:spacing w:line="360" w:lineRule="auto"/>
        <w:ind w:left="360"/>
        <w:rPr>
          <w:rFonts w:asciiTheme="minorHAnsi" w:hAnsiTheme="minorHAnsi" w:cstheme="minorHAnsi"/>
        </w:rPr>
      </w:pPr>
      <w:r w:rsidRPr="002631E0">
        <w:rPr>
          <w:rFonts w:asciiTheme="minorHAnsi" w:hAnsiTheme="minorHAnsi" w:cstheme="minorHAnsi"/>
        </w:rPr>
        <w:t>Local “</w:t>
      </w:r>
      <w:hyperlink r:id="rId41" w:history="1">
        <w:r w:rsidRPr="002631E0">
          <w:rPr>
            <w:rStyle w:val="Hyperlink"/>
            <w:rFonts w:asciiTheme="minorHAnsi" w:hAnsiTheme="minorHAnsi" w:cstheme="minorHAnsi"/>
          </w:rPr>
          <w:t>Kent and Medway Guidance on Biosimilar Insulin Prescribing</w:t>
        </w:r>
      </w:hyperlink>
      <w:r w:rsidRPr="002631E0">
        <w:rPr>
          <w:rFonts w:asciiTheme="minorHAnsi" w:hAnsiTheme="minorHAnsi" w:cstheme="minorHAnsi"/>
        </w:rPr>
        <w:t>” and “</w:t>
      </w:r>
      <w:hyperlink r:id="rId42" w:history="1">
        <w:r w:rsidRPr="002631E0">
          <w:rPr>
            <w:rStyle w:val="Hyperlink"/>
            <w:rFonts w:asciiTheme="minorHAnsi" w:hAnsiTheme="minorHAnsi" w:cstheme="minorHAnsi"/>
          </w:rPr>
          <w:t>Kent and Medway Guidance on Safe Insulin Prescribing</w:t>
        </w:r>
      </w:hyperlink>
      <w:r w:rsidRPr="002631E0">
        <w:rPr>
          <w:rFonts w:asciiTheme="minorHAnsi" w:hAnsiTheme="minorHAnsi" w:cstheme="minorHAnsi"/>
        </w:rPr>
        <w:t>” summarise the biosimilar insulins available currently in the UK and can support healthcare professionals, within different healthcare settings, engaged in the care of patients with diabetes/using insulin, in the safe and appropriate prescribing and dispensing of insulins and biosimilar insulins (these documents can also be found on all local formulary websites).</w:t>
      </w:r>
    </w:p>
    <w:p w14:paraId="5D245C7E" w14:textId="55F88A51" w:rsidR="002631E0" w:rsidRDefault="00753805" w:rsidP="00753805">
      <w:pPr>
        <w:tabs>
          <w:tab w:val="left" w:pos="3975"/>
        </w:tabs>
        <w:ind w:left="360"/>
        <w:rPr>
          <w:rFonts w:asciiTheme="minorHAnsi" w:hAnsiTheme="minorHAnsi" w:cstheme="minorHAnsi"/>
        </w:rPr>
      </w:pPr>
      <w:r>
        <w:rPr>
          <w:rFonts w:asciiTheme="minorHAnsi" w:hAnsiTheme="minorHAnsi" w:cstheme="minorHAnsi"/>
        </w:rPr>
        <w:tab/>
      </w:r>
    </w:p>
    <w:p w14:paraId="1D4C1F0A" w14:textId="77777777" w:rsidR="00753805" w:rsidRDefault="00753805" w:rsidP="00753805">
      <w:pPr>
        <w:tabs>
          <w:tab w:val="left" w:pos="3975"/>
        </w:tabs>
        <w:ind w:left="360"/>
        <w:rPr>
          <w:rFonts w:asciiTheme="minorHAnsi" w:hAnsiTheme="minorHAnsi" w:cstheme="minorHAnsi"/>
        </w:rPr>
      </w:pPr>
    </w:p>
    <w:p w14:paraId="639D51DD" w14:textId="77777777" w:rsidR="00753805" w:rsidRDefault="00753805" w:rsidP="00753805">
      <w:pPr>
        <w:tabs>
          <w:tab w:val="left" w:pos="3975"/>
        </w:tabs>
        <w:ind w:left="360"/>
        <w:rPr>
          <w:rFonts w:asciiTheme="minorHAnsi" w:hAnsiTheme="minorHAnsi" w:cstheme="minorHAnsi"/>
        </w:rPr>
      </w:pPr>
    </w:p>
    <w:p w14:paraId="18ACA560" w14:textId="77777777" w:rsidR="00753805" w:rsidRDefault="00753805" w:rsidP="00753805">
      <w:pPr>
        <w:tabs>
          <w:tab w:val="left" w:pos="3975"/>
        </w:tabs>
        <w:ind w:left="360"/>
        <w:rPr>
          <w:rFonts w:asciiTheme="minorHAnsi" w:hAnsiTheme="minorHAnsi" w:cstheme="minorHAnsi"/>
        </w:rPr>
      </w:pPr>
    </w:p>
    <w:p w14:paraId="6CE3D337" w14:textId="77777777" w:rsidR="00753805" w:rsidRDefault="00753805" w:rsidP="00753805">
      <w:pPr>
        <w:tabs>
          <w:tab w:val="left" w:pos="3975"/>
        </w:tabs>
        <w:ind w:left="360"/>
        <w:rPr>
          <w:rFonts w:asciiTheme="minorHAnsi" w:hAnsiTheme="minorHAnsi" w:cstheme="minorHAnsi"/>
        </w:rPr>
      </w:pPr>
    </w:p>
    <w:p w14:paraId="339F1C2D" w14:textId="77777777" w:rsidR="00753805" w:rsidRDefault="00753805" w:rsidP="00753805">
      <w:pPr>
        <w:tabs>
          <w:tab w:val="left" w:pos="3975"/>
        </w:tabs>
        <w:ind w:left="360"/>
        <w:rPr>
          <w:rFonts w:asciiTheme="minorHAnsi" w:hAnsiTheme="minorHAnsi" w:cstheme="minorHAnsi"/>
        </w:rPr>
      </w:pPr>
    </w:p>
    <w:p w14:paraId="3ACBD499" w14:textId="77777777" w:rsidR="00753805" w:rsidRPr="002631E0" w:rsidRDefault="00753805" w:rsidP="00753805">
      <w:pPr>
        <w:tabs>
          <w:tab w:val="left" w:pos="3975"/>
        </w:tabs>
        <w:ind w:left="360"/>
        <w:rPr>
          <w:rFonts w:asciiTheme="minorHAnsi" w:hAnsiTheme="minorHAnsi" w:cstheme="minorHAnsi"/>
        </w:rPr>
      </w:pPr>
    </w:p>
    <w:p w14:paraId="55AB8926" w14:textId="553FE946" w:rsidR="002631E0" w:rsidRPr="002631E0" w:rsidRDefault="002631E0" w:rsidP="00AE2D53">
      <w:pPr>
        <w:ind w:left="360"/>
        <w:rPr>
          <w:rFonts w:asciiTheme="minorHAnsi" w:hAnsiTheme="minorHAnsi" w:cstheme="minorHAnsi"/>
        </w:rPr>
      </w:pPr>
      <w:r w:rsidRPr="00EE1F83">
        <w:rPr>
          <w:rFonts w:ascii="Helvetica" w:hAnsi="Helvetica" w:cs="Helvetica"/>
          <w:noProof/>
          <w:color w:val="202020"/>
          <w:sz w:val="24"/>
          <w:szCs w:val="24"/>
        </w:rPr>
        <w:lastRenderedPageBreak/>
        <mc:AlternateContent>
          <mc:Choice Requires="wps">
            <w:drawing>
              <wp:anchor distT="45720" distB="45720" distL="114300" distR="114300" simplePos="0" relativeHeight="251676672" behindDoc="0" locked="0" layoutInCell="1" allowOverlap="1" wp14:anchorId="3F790272" wp14:editId="205FAC7A">
                <wp:simplePos x="0" y="0"/>
                <wp:positionH relativeFrom="column">
                  <wp:posOffset>0</wp:posOffset>
                </wp:positionH>
                <wp:positionV relativeFrom="paragraph">
                  <wp:posOffset>217170</wp:posOffset>
                </wp:positionV>
                <wp:extent cx="6743700" cy="3143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14325"/>
                        </a:xfrm>
                        <a:prstGeom prst="rect">
                          <a:avLst/>
                        </a:prstGeom>
                        <a:solidFill>
                          <a:srgbClr val="7030A0"/>
                        </a:solidFill>
                        <a:ln w="9525">
                          <a:solidFill>
                            <a:srgbClr val="7030A0"/>
                          </a:solidFill>
                          <a:miter lim="800000"/>
                          <a:headEnd/>
                          <a:tailEnd/>
                        </a:ln>
                      </wps:spPr>
                      <wps:txbx>
                        <w:txbxContent>
                          <w:p w14:paraId="56F19374" w14:textId="77777777" w:rsidR="002631E0" w:rsidRPr="00E4129D" w:rsidRDefault="002631E0" w:rsidP="002631E0">
                            <w:pPr>
                              <w:rPr>
                                <w:b/>
                                <w:bCs/>
                                <w:color w:val="FFFFFF" w:themeColor="background1"/>
                                <w:sz w:val="32"/>
                                <w:szCs w:val="32"/>
                              </w:rPr>
                            </w:pPr>
                            <w:r w:rsidRPr="00E4129D">
                              <w:rPr>
                                <w:b/>
                                <w:bCs/>
                                <w:color w:val="FFFFFF" w:themeColor="background1"/>
                                <w:sz w:val="32"/>
                                <w:szCs w:val="32"/>
                              </w:rPr>
                              <w:t xml:space="preserve">HCP Specific Newsletter Updates </w:t>
                            </w:r>
                            <w:r>
                              <w:rPr>
                                <w:b/>
                                <w:bCs/>
                                <w:color w:val="FFFFFF" w:themeColor="background1"/>
                                <w:sz w:val="32"/>
                                <w:szCs w:val="32"/>
                              </w:rPr>
                              <w:t xml:space="preserve">– East Kent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90272" id="_x0000_s1030" type="#_x0000_t202" style="position:absolute;left:0;text-align:left;margin-left:0;margin-top:17.1pt;width:531pt;height:24.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" fillcolor="#7030a0" strokecolor="#7030a0">
                <v:textbox>
                  <w:txbxContent>
                    <w:p w14:paraId="56F19374" w14:textId="77777777" w:rsidR="002631E0" w:rsidRPr="00E4129D" w:rsidRDefault="002631E0" w:rsidP="002631E0">
                      <w:pPr>
                        <w:rPr>
                          <w:b/>
                          <w:bCs/>
                          <w:color w:val="FFFFFF" w:themeColor="background1"/>
                          <w:sz w:val="32"/>
                          <w:szCs w:val="32"/>
                        </w:rPr>
                      </w:pPr>
                      <w:r w:rsidRPr="00E4129D">
                        <w:rPr>
                          <w:b/>
                          <w:bCs/>
                          <w:color w:val="FFFFFF" w:themeColor="background1"/>
                          <w:sz w:val="32"/>
                          <w:szCs w:val="32"/>
                        </w:rPr>
                        <w:t xml:space="preserve">HCP Specific Newsletter Updates </w:t>
                      </w:r>
                      <w:r>
                        <w:rPr>
                          <w:b/>
                          <w:bCs/>
                          <w:color w:val="FFFFFF" w:themeColor="background1"/>
                          <w:sz w:val="32"/>
                          <w:szCs w:val="32"/>
                        </w:rPr>
                        <w:t xml:space="preserve">– East Kent </w:t>
                      </w:r>
                    </w:p>
                  </w:txbxContent>
                </v:textbox>
                <w10:wrap type="square"/>
              </v:shape>
            </w:pict>
          </mc:Fallback>
        </mc:AlternateContent>
      </w:r>
    </w:p>
    <w:p w14:paraId="3EEC753D" w14:textId="77777777" w:rsidR="002631E0" w:rsidRPr="00B173AB" w:rsidRDefault="002631E0" w:rsidP="002631E0">
      <w:pPr>
        <w:shd w:val="clear" w:color="auto" w:fill="E5DFEC" w:themeFill="accent4" w:themeFillTint="33"/>
        <w:ind w:left="425"/>
        <w:rPr>
          <w:b/>
          <w:bCs/>
        </w:rPr>
      </w:pPr>
      <w:bookmarkStart w:id="22" w:name="_Hlk182857682"/>
      <w:bookmarkStart w:id="23" w:name="_Hlk183009406"/>
      <w:bookmarkStart w:id="24" w:name="article9"/>
      <w:bookmarkEnd w:id="24"/>
      <w:r w:rsidRPr="00B173AB">
        <w:rPr>
          <w:b/>
          <w:bCs/>
        </w:rPr>
        <w:t>Reminder for East Kent Practices - Oral Morphine Prescribing Resources</w:t>
      </w:r>
      <w:bookmarkEnd w:id="22"/>
    </w:p>
    <w:bookmarkEnd w:id="23"/>
    <w:p w14:paraId="105A6A79" w14:textId="77777777" w:rsidR="002631E0" w:rsidRDefault="002631E0" w:rsidP="002631E0">
      <w:pPr>
        <w:ind w:left="1015"/>
        <w:rPr>
          <w:rFonts w:asciiTheme="minorHAnsi" w:eastAsia="Aptos" w:hAnsiTheme="minorHAnsi" w:cstheme="minorHAnsi"/>
          <w:b/>
          <w:bCs/>
          <w:kern w:val="2"/>
          <w:u w:val="single"/>
          <w:lang w:eastAsia="en-US"/>
          <w14:ligatures w14:val="standardContextual"/>
        </w:rPr>
      </w:pPr>
    </w:p>
    <w:p w14:paraId="77B3581B" w14:textId="77777777" w:rsidR="002631E0" w:rsidRDefault="002631E0" w:rsidP="00AE2D53">
      <w:pPr>
        <w:ind w:left="425"/>
      </w:pPr>
      <w:r w:rsidRPr="00E97BB7">
        <w:t xml:space="preserve">The East Kent primary care formulary </w:t>
      </w:r>
      <w:hyperlink r:id="rId43" w:history="1">
        <w:r>
          <w:rPr>
            <w:rStyle w:val="Hyperlink"/>
          </w:rPr>
          <w:t>(here)</w:t>
        </w:r>
      </w:hyperlink>
      <w:r>
        <w:t xml:space="preserve"> </w:t>
      </w:r>
      <w:r w:rsidRPr="00E97BB7">
        <w:t xml:space="preserve"> </w:t>
      </w:r>
      <w:r>
        <w:t xml:space="preserve">hosts </w:t>
      </w:r>
      <w:proofErr w:type="gramStart"/>
      <w:r>
        <w:t>a number of</w:t>
      </w:r>
      <w:proofErr w:type="gramEnd"/>
      <w:r>
        <w:t xml:space="preserve"> resources to support safe prescribing of oral morphine:</w:t>
      </w:r>
    </w:p>
    <w:p w14:paraId="3647EDD5" w14:textId="77777777" w:rsidR="002631E0" w:rsidRDefault="002631E0" w:rsidP="00AE2D53">
      <w:pPr>
        <w:spacing w:line="360" w:lineRule="auto"/>
        <w:ind w:left="425"/>
      </w:pPr>
      <w:hyperlink r:id="rId44" w:history="1">
        <w:r w:rsidRPr="00E97BB7">
          <w:rPr>
            <w:rStyle w:val="Hyperlink"/>
          </w:rPr>
          <w:t>morphine-liquid-appropriate-use-guidance.pdf</w:t>
        </w:r>
      </w:hyperlink>
    </w:p>
    <w:p w14:paraId="007BDF1F" w14:textId="77777777" w:rsidR="002631E0" w:rsidRDefault="002631E0" w:rsidP="00AE2D53">
      <w:pPr>
        <w:spacing w:line="360" w:lineRule="auto"/>
        <w:ind w:left="425"/>
      </w:pPr>
      <w:hyperlink r:id="rId45" w:history="1">
        <w:r w:rsidRPr="00E97BB7">
          <w:rPr>
            <w:rStyle w:val="Hyperlink"/>
          </w:rPr>
          <w:t>prescribing-liquid-morphine-position-statement.pdf</w:t>
        </w:r>
      </w:hyperlink>
    </w:p>
    <w:p w14:paraId="2B2B5A77" w14:textId="77777777" w:rsidR="002631E0" w:rsidRDefault="002631E0" w:rsidP="00AE2D53">
      <w:pPr>
        <w:spacing w:line="360" w:lineRule="auto"/>
        <w:ind w:left="425"/>
      </w:pPr>
      <w:hyperlink r:id="rId46" w:history="1">
        <w:r w:rsidRPr="00E97BB7">
          <w:rPr>
            <w:rStyle w:val="Hyperlink"/>
          </w:rPr>
          <w:t>actimorph-gp-printout-004-upload-21feb2023.pdf</w:t>
        </w:r>
      </w:hyperlink>
    </w:p>
    <w:p w14:paraId="393A5588" w14:textId="77777777" w:rsidR="002631E0" w:rsidRPr="00E97BB7" w:rsidRDefault="002631E0" w:rsidP="00AE2D53">
      <w:pPr>
        <w:spacing w:line="360" w:lineRule="auto"/>
        <w:ind w:left="425"/>
      </w:pPr>
      <w:proofErr w:type="spellStart"/>
      <w:r w:rsidRPr="003856CA">
        <w:rPr>
          <w:b/>
          <w:bCs/>
        </w:rPr>
        <w:t>Actimorph</w:t>
      </w:r>
      <w:proofErr w:type="spellEnd"/>
      <w:r w:rsidRPr="003856CA">
        <w:rPr>
          <w:b/>
          <w:bCs/>
        </w:rPr>
        <w:t xml:space="preserve"> </w:t>
      </w:r>
      <w:proofErr w:type="spellStart"/>
      <w:r w:rsidRPr="003856CA">
        <w:rPr>
          <w:b/>
          <w:bCs/>
        </w:rPr>
        <w:t>orodispersible</w:t>
      </w:r>
      <w:proofErr w:type="spellEnd"/>
      <w:r w:rsidRPr="003856CA">
        <w:rPr>
          <w:b/>
          <w:bCs/>
        </w:rPr>
        <w:t xml:space="preserve"> tablets</w:t>
      </w:r>
      <w:r>
        <w:t xml:space="preserve"> are on formulary in NHS Kent and Medway. East Kent Hospitals will be starting to use this preparation from mid November 2024. Prescribers, please familiarise yourself with this preparation and the resources above.</w:t>
      </w:r>
    </w:p>
    <w:p w14:paraId="547F2BC3" w14:textId="77777777" w:rsidR="002631E0" w:rsidRPr="002631E0" w:rsidRDefault="002631E0" w:rsidP="002631E0">
      <w:pPr>
        <w:rPr>
          <w:rFonts w:asciiTheme="minorHAnsi" w:hAnsiTheme="minorHAnsi" w:cstheme="minorHAnsi"/>
        </w:rPr>
      </w:pPr>
    </w:p>
    <w:p w14:paraId="0917A1DA" w14:textId="77777777" w:rsidR="002631E0" w:rsidRPr="002631E0" w:rsidRDefault="002631E0" w:rsidP="002631E0">
      <w:pPr>
        <w:rPr>
          <w:rFonts w:asciiTheme="minorHAnsi" w:hAnsiTheme="minorHAnsi" w:cstheme="minorHAnsi"/>
        </w:rPr>
      </w:pPr>
    </w:p>
    <w:p w14:paraId="69177D24" w14:textId="77777777" w:rsidR="002631E0" w:rsidRPr="002631E0" w:rsidRDefault="002631E0" w:rsidP="002631E0">
      <w:pPr>
        <w:rPr>
          <w:rFonts w:asciiTheme="minorHAnsi" w:hAnsiTheme="minorHAnsi" w:cstheme="minorHAnsi"/>
        </w:rPr>
      </w:pPr>
    </w:p>
    <w:sectPr w:rsidR="002631E0" w:rsidRPr="002631E0" w:rsidSect="00E4129D">
      <w:footerReference w:type="default" r:id="rId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ECE0" w14:textId="77777777" w:rsidR="00912DC0" w:rsidRDefault="00912DC0" w:rsidP="00BB6A3C">
      <w:r>
        <w:separator/>
      </w:r>
    </w:p>
  </w:endnote>
  <w:endnote w:type="continuationSeparator" w:id="0">
    <w:p w14:paraId="5AA71472" w14:textId="77777777" w:rsidR="00912DC0" w:rsidRDefault="00912DC0" w:rsidP="00B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18C2" w14:textId="77777777" w:rsidR="00EE1F83" w:rsidRPr="00BB3EF1" w:rsidRDefault="00EE1F83" w:rsidP="00EE1F83">
    <w:pPr>
      <w:pStyle w:val="Footer"/>
      <w:jc w:val="center"/>
      <w:rPr>
        <w:i/>
        <w:iCs/>
        <w:sz w:val="20"/>
        <w:szCs w:val="20"/>
      </w:rPr>
    </w:pPr>
    <w:r w:rsidRPr="00BB3EF1">
      <w:rPr>
        <w:rFonts w:ascii="Helvetica" w:hAnsi="Helvetica" w:cs="Helvetica"/>
        <w:i/>
        <w:iCs/>
        <w:color w:val="202020"/>
        <w:sz w:val="18"/>
        <w:szCs w:val="18"/>
      </w:rPr>
      <w:t>Every effort is made to ensure that the information contained in this newsletter is accurate and up to date at the time of publication. Please be aware that information about medicines and therapeutics will change over time, and that information may not be current after the initial date of publication. Please take note of the publication date and seek further advice if in any doubt about the accuracy of the information. The information contained in this newsletter is the best available from the resources at our disposal at the time. Acronyms used are standard formulary. This newsletter is produced by the NHS Kent and Medway Medicines Optimisation Team on behalf of the Kent &amp; Medway ICB. For all correspondence including any queries, please contact the Medicines Optimisation team email: kmicb.medicinesoptimisation@nhs.net</w:t>
    </w:r>
  </w:p>
  <w:p w14:paraId="111B92CB" w14:textId="77777777" w:rsidR="00514586" w:rsidRDefault="0051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2163" w14:textId="77777777" w:rsidR="00912DC0" w:rsidRDefault="00912DC0" w:rsidP="00BB6A3C">
      <w:r>
        <w:separator/>
      </w:r>
    </w:p>
  </w:footnote>
  <w:footnote w:type="continuationSeparator" w:id="0">
    <w:p w14:paraId="4976974C" w14:textId="77777777" w:rsidR="00912DC0" w:rsidRDefault="00912DC0" w:rsidP="00BB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7D64"/>
    <w:multiLevelType w:val="multilevel"/>
    <w:tmpl w:val="5B3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828C4"/>
    <w:multiLevelType w:val="hybridMultilevel"/>
    <w:tmpl w:val="4A8C44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C055185"/>
    <w:multiLevelType w:val="hybridMultilevel"/>
    <w:tmpl w:val="5F90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7586"/>
    <w:multiLevelType w:val="multilevel"/>
    <w:tmpl w:val="AA4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81F6C"/>
    <w:multiLevelType w:val="hybridMultilevel"/>
    <w:tmpl w:val="77F4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B76B4"/>
    <w:multiLevelType w:val="hybridMultilevel"/>
    <w:tmpl w:val="358800F6"/>
    <w:lvl w:ilvl="0" w:tplc="63F4F6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8721A5"/>
    <w:multiLevelType w:val="multilevel"/>
    <w:tmpl w:val="FFB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4176E"/>
    <w:multiLevelType w:val="hybridMultilevel"/>
    <w:tmpl w:val="C13A5978"/>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Aptos" w:eastAsiaTheme="minorHAnsi" w:hAnsi="Aptos" w:cstheme="minorBidi" w:hint="default"/>
      </w:rPr>
    </w:lvl>
    <w:lvl w:ilvl="2" w:tplc="CB7878C6">
      <w:numFmt w:val="bullet"/>
      <w:lvlText w:val="•"/>
      <w:lvlJc w:val="left"/>
      <w:pPr>
        <w:ind w:left="2520" w:hanging="360"/>
      </w:pPr>
      <w:rPr>
        <w:rFonts w:ascii="Arial" w:eastAsiaTheme="minorHAnsi" w:hAnsi="Arial" w:cs="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6554F3"/>
    <w:multiLevelType w:val="hybridMultilevel"/>
    <w:tmpl w:val="8902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3CBC"/>
    <w:multiLevelType w:val="multilevel"/>
    <w:tmpl w:val="8E14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C0120"/>
    <w:multiLevelType w:val="multilevel"/>
    <w:tmpl w:val="A6C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87CED"/>
    <w:multiLevelType w:val="hybridMultilevel"/>
    <w:tmpl w:val="BA14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932E2"/>
    <w:multiLevelType w:val="multilevel"/>
    <w:tmpl w:val="B01C9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01BF7"/>
    <w:multiLevelType w:val="hybridMultilevel"/>
    <w:tmpl w:val="236A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82D"/>
    <w:multiLevelType w:val="hybridMultilevel"/>
    <w:tmpl w:val="43A4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1047"/>
    <w:multiLevelType w:val="hybridMultilevel"/>
    <w:tmpl w:val="514C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46741"/>
    <w:multiLevelType w:val="hybridMultilevel"/>
    <w:tmpl w:val="8FECE670"/>
    <w:lvl w:ilvl="0" w:tplc="DE8C55DE">
      <w:numFmt w:val="bullet"/>
      <w:lvlText w:val="•"/>
      <w:lvlJc w:val="left"/>
      <w:pPr>
        <w:ind w:left="786" w:hanging="360"/>
      </w:pPr>
      <w:rPr>
        <w:rFonts w:ascii="Calibri" w:eastAsiaTheme="minorHAnsi" w:hAnsi="Calibri" w:cs="Calibri" w:hint="default"/>
        <w:color w:val="auto"/>
        <w:u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8E12E8A"/>
    <w:multiLevelType w:val="hybridMultilevel"/>
    <w:tmpl w:val="3DCE99FA"/>
    <w:lvl w:ilvl="0" w:tplc="E410E03A">
      <w:numFmt w:val="bullet"/>
      <w:lvlText w:val="-"/>
      <w:lvlJc w:val="left"/>
      <w:pPr>
        <w:ind w:left="1800" w:hanging="360"/>
      </w:pPr>
      <w:rPr>
        <w:rFonts w:ascii="Aptos" w:eastAsiaTheme="minorHAnsi" w:hAnsi="Aptos"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1F86917"/>
    <w:multiLevelType w:val="hybridMultilevel"/>
    <w:tmpl w:val="5A18D0FE"/>
    <w:lvl w:ilvl="0" w:tplc="08090001">
      <w:start w:val="1"/>
      <w:numFmt w:val="bullet"/>
      <w:lvlText w:val=""/>
      <w:lvlJc w:val="left"/>
      <w:pPr>
        <w:ind w:left="720" w:hanging="360"/>
      </w:pPr>
      <w:rPr>
        <w:rFonts w:ascii="Symbol" w:hAnsi="Symbol" w:hint="default"/>
      </w:rPr>
    </w:lvl>
    <w:lvl w:ilvl="1" w:tplc="336E678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93B79"/>
    <w:multiLevelType w:val="hybridMultilevel"/>
    <w:tmpl w:val="E522C8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8219CA"/>
    <w:multiLevelType w:val="multilevel"/>
    <w:tmpl w:val="158E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0C4271"/>
    <w:multiLevelType w:val="hybridMultilevel"/>
    <w:tmpl w:val="651A31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181A4F"/>
    <w:multiLevelType w:val="hybridMultilevel"/>
    <w:tmpl w:val="BBA09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6A3541"/>
    <w:multiLevelType w:val="hybridMultilevel"/>
    <w:tmpl w:val="79A2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3077E"/>
    <w:multiLevelType w:val="hybridMultilevel"/>
    <w:tmpl w:val="2FDE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E2FA4"/>
    <w:multiLevelType w:val="multilevel"/>
    <w:tmpl w:val="B6C05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C0837"/>
    <w:multiLevelType w:val="multilevel"/>
    <w:tmpl w:val="D15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1A1F12"/>
    <w:multiLevelType w:val="multilevel"/>
    <w:tmpl w:val="443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761918"/>
    <w:multiLevelType w:val="hybridMultilevel"/>
    <w:tmpl w:val="91DC4ED2"/>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412045219">
    <w:abstractNumId w:val="25"/>
  </w:num>
  <w:num w:numId="2" w16cid:durableId="1251700040">
    <w:abstractNumId w:val="5"/>
  </w:num>
  <w:num w:numId="3" w16cid:durableId="592905149">
    <w:abstractNumId w:val="2"/>
  </w:num>
  <w:num w:numId="4" w16cid:durableId="900556921">
    <w:abstractNumId w:val="14"/>
  </w:num>
  <w:num w:numId="5" w16cid:durableId="286085340">
    <w:abstractNumId w:val="15"/>
  </w:num>
  <w:num w:numId="6" w16cid:durableId="1432896300">
    <w:abstractNumId w:val="13"/>
  </w:num>
  <w:num w:numId="7" w16cid:durableId="2065564998">
    <w:abstractNumId w:val="20"/>
  </w:num>
  <w:num w:numId="8" w16cid:durableId="1480883657">
    <w:abstractNumId w:val="6"/>
  </w:num>
  <w:num w:numId="9" w16cid:durableId="168100836">
    <w:abstractNumId w:val="23"/>
  </w:num>
  <w:num w:numId="10" w16cid:durableId="1435900950">
    <w:abstractNumId w:val="8"/>
  </w:num>
  <w:num w:numId="11" w16cid:durableId="850681506">
    <w:abstractNumId w:val="11"/>
  </w:num>
  <w:num w:numId="12" w16cid:durableId="1422989768">
    <w:abstractNumId w:val="26"/>
  </w:num>
  <w:num w:numId="13" w16cid:durableId="1491019286">
    <w:abstractNumId w:val="22"/>
  </w:num>
  <w:num w:numId="14" w16cid:durableId="846360879">
    <w:abstractNumId w:val="21"/>
  </w:num>
  <w:num w:numId="15" w16cid:durableId="716051981">
    <w:abstractNumId w:val="9"/>
  </w:num>
  <w:num w:numId="16" w16cid:durableId="1154418911">
    <w:abstractNumId w:val="1"/>
  </w:num>
  <w:num w:numId="17" w16cid:durableId="798302569">
    <w:abstractNumId w:val="24"/>
  </w:num>
  <w:num w:numId="18" w16cid:durableId="1477260614">
    <w:abstractNumId w:val="16"/>
  </w:num>
  <w:num w:numId="19" w16cid:durableId="85074140">
    <w:abstractNumId w:val="12"/>
  </w:num>
  <w:num w:numId="20" w16cid:durableId="1098675892">
    <w:abstractNumId w:val="19"/>
  </w:num>
  <w:num w:numId="21" w16cid:durableId="1423184057">
    <w:abstractNumId w:val="28"/>
  </w:num>
  <w:num w:numId="22" w16cid:durableId="932518750">
    <w:abstractNumId w:val="4"/>
  </w:num>
  <w:num w:numId="23" w16cid:durableId="951207930">
    <w:abstractNumId w:val="3"/>
  </w:num>
  <w:num w:numId="24" w16cid:durableId="833953956">
    <w:abstractNumId w:val="10"/>
  </w:num>
  <w:num w:numId="25" w16cid:durableId="1371371076">
    <w:abstractNumId w:val="27"/>
  </w:num>
  <w:num w:numId="26" w16cid:durableId="1514686898">
    <w:abstractNumId w:val="0"/>
  </w:num>
  <w:num w:numId="27" w16cid:durableId="1064523686">
    <w:abstractNumId w:val="18"/>
  </w:num>
  <w:num w:numId="28" w16cid:durableId="519467727">
    <w:abstractNumId w:val="7"/>
  </w:num>
  <w:num w:numId="29" w16cid:durableId="153112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F2"/>
    <w:rsid w:val="00012AAE"/>
    <w:rsid w:val="00036D00"/>
    <w:rsid w:val="0007102D"/>
    <w:rsid w:val="000803AE"/>
    <w:rsid w:val="000A682D"/>
    <w:rsid w:val="000B4B5B"/>
    <w:rsid w:val="000C0A91"/>
    <w:rsid w:val="000C48EA"/>
    <w:rsid w:val="000D3761"/>
    <w:rsid w:val="000E42D2"/>
    <w:rsid w:val="00121BE0"/>
    <w:rsid w:val="00125CFA"/>
    <w:rsid w:val="00136AB8"/>
    <w:rsid w:val="00191DCA"/>
    <w:rsid w:val="001C74D0"/>
    <w:rsid w:val="001D6D48"/>
    <w:rsid w:val="001F5B0D"/>
    <w:rsid w:val="001F7946"/>
    <w:rsid w:val="00202F93"/>
    <w:rsid w:val="00226B01"/>
    <w:rsid w:val="00230F70"/>
    <w:rsid w:val="00257318"/>
    <w:rsid w:val="002631E0"/>
    <w:rsid w:val="002746E2"/>
    <w:rsid w:val="002901FD"/>
    <w:rsid w:val="00295579"/>
    <w:rsid w:val="002A4FE6"/>
    <w:rsid w:val="002B25E3"/>
    <w:rsid w:val="00324DA6"/>
    <w:rsid w:val="00340AFF"/>
    <w:rsid w:val="003417BE"/>
    <w:rsid w:val="00354447"/>
    <w:rsid w:val="003706EA"/>
    <w:rsid w:val="00372619"/>
    <w:rsid w:val="003871C9"/>
    <w:rsid w:val="003D5DEF"/>
    <w:rsid w:val="00406A40"/>
    <w:rsid w:val="0041427C"/>
    <w:rsid w:val="00423710"/>
    <w:rsid w:val="00424046"/>
    <w:rsid w:val="004505A2"/>
    <w:rsid w:val="004910FC"/>
    <w:rsid w:val="00514586"/>
    <w:rsid w:val="00563A4E"/>
    <w:rsid w:val="005E584E"/>
    <w:rsid w:val="005F2D4D"/>
    <w:rsid w:val="006007F3"/>
    <w:rsid w:val="00604742"/>
    <w:rsid w:val="006127A2"/>
    <w:rsid w:val="006222B5"/>
    <w:rsid w:val="00622FE4"/>
    <w:rsid w:val="0064221E"/>
    <w:rsid w:val="00647897"/>
    <w:rsid w:val="006633B5"/>
    <w:rsid w:val="00676C0E"/>
    <w:rsid w:val="006804C3"/>
    <w:rsid w:val="006C6725"/>
    <w:rsid w:val="006D5596"/>
    <w:rsid w:val="006D7B47"/>
    <w:rsid w:val="007113D7"/>
    <w:rsid w:val="007164C2"/>
    <w:rsid w:val="0075068F"/>
    <w:rsid w:val="00753805"/>
    <w:rsid w:val="007829F3"/>
    <w:rsid w:val="00793688"/>
    <w:rsid w:val="007C5BBE"/>
    <w:rsid w:val="007C6249"/>
    <w:rsid w:val="007D6E0F"/>
    <w:rsid w:val="007F25B6"/>
    <w:rsid w:val="007F7BE0"/>
    <w:rsid w:val="0082698F"/>
    <w:rsid w:val="00834AA6"/>
    <w:rsid w:val="00844380"/>
    <w:rsid w:val="00873039"/>
    <w:rsid w:val="0089509B"/>
    <w:rsid w:val="008A4C16"/>
    <w:rsid w:val="008D1F21"/>
    <w:rsid w:val="008D58A6"/>
    <w:rsid w:val="008D6F54"/>
    <w:rsid w:val="008F7841"/>
    <w:rsid w:val="00901AEA"/>
    <w:rsid w:val="00912DC0"/>
    <w:rsid w:val="009322AC"/>
    <w:rsid w:val="009425DA"/>
    <w:rsid w:val="00954FE9"/>
    <w:rsid w:val="0096279E"/>
    <w:rsid w:val="009A7DC7"/>
    <w:rsid w:val="009E37A6"/>
    <w:rsid w:val="009E6BB7"/>
    <w:rsid w:val="009E73B5"/>
    <w:rsid w:val="00A25866"/>
    <w:rsid w:val="00A36EC5"/>
    <w:rsid w:val="00A61838"/>
    <w:rsid w:val="00A63E63"/>
    <w:rsid w:val="00A76139"/>
    <w:rsid w:val="00AE2D53"/>
    <w:rsid w:val="00B01249"/>
    <w:rsid w:val="00B03F71"/>
    <w:rsid w:val="00B173AB"/>
    <w:rsid w:val="00B37B25"/>
    <w:rsid w:val="00B733DF"/>
    <w:rsid w:val="00B977F8"/>
    <w:rsid w:val="00BB6A3C"/>
    <w:rsid w:val="00BD6867"/>
    <w:rsid w:val="00C01016"/>
    <w:rsid w:val="00C349F2"/>
    <w:rsid w:val="00C376D5"/>
    <w:rsid w:val="00C5078C"/>
    <w:rsid w:val="00C55A14"/>
    <w:rsid w:val="00C61EFB"/>
    <w:rsid w:val="00C73215"/>
    <w:rsid w:val="00C738DD"/>
    <w:rsid w:val="00C90FE9"/>
    <w:rsid w:val="00C93244"/>
    <w:rsid w:val="00CE3052"/>
    <w:rsid w:val="00CE724F"/>
    <w:rsid w:val="00D37130"/>
    <w:rsid w:val="00D635FB"/>
    <w:rsid w:val="00DD60F8"/>
    <w:rsid w:val="00DF086E"/>
    <w:rsid w:val="00E06FBF"/>
    <w:rsid w:val="00E13239"/>
    <w:rsid w:val="00E17DEF"/>
    <w:rsid w:val="00E24241"/>
    <w:rsid w:val="00E4129D"/>
    <w:rsid w:val="00E855D2"/>
    <w:rsid w:val="00EC1DB3"/>
    <w:rsid w:val="00EC578E"/>
    <w:rsid w:val="00EE1F83"/>
    <w:rsid w:val="00F12C8E"/>
    <w:rsid w:val="00F16BBD"/>
    <w:rsid w:val="00F52090"/>
    <w:rsid w:val="00F904F2"/>
    <w:rsid w:val="00FD5CE1"/>
    <w:rsid w:val="00FE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551007"/>
  <w15:chartTrackingRefBased/>
  <w15:docId w15:val="{914F3490-FF75-4BF0-A2D5-11957C4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FF"/>
    <w:pPr>
      <w:spacing w:after="0" w:line="240" w:lineRule="auto"/>
    </w:pPr>
    <w:rPr>
      <w:rFonts w:ascii="Calibri" w:hAnsi="Calibri" w:cs="Calibri"/>
      <w:lang w:eastAsia="en-GB"/>
    </w:rPr>
  </w:style>
  <w:style w:type="paragraph" w:styleId="Heading1">
    <w:name w:val="heading 1"/>
    <w:basedOn w:val="Normal"/>
    <w:link w:val="Heading1Char"/>
    <w:uiPriority w:val="9"/>
    <w:qFormat/>
    <w:rsid w:val="00C349F2"/>
    <w:pPr>
      <w:spacing w:line="300" w:lineRule="auto"/>
      <w:outlineLvl w:val="0"/>
    </w:pPr>
    <w:rPr>
      <w:rFonts w:ascii="Helvetica" w:hAnsi="Helvetica" w:cs="Helvetica"/>
      <w:b/>
      <w:bCs/>
      <w:color w:val="202020"/>
      <w:kern w:val="36"/>
      <w:sz w:val="39"/>
      <w:szCs w:val="39"/>
    </w:rPr>
  </w:style>
  <w:style w:type="paragraph" w:styleId="Heading2">
    <w:name w:val="heading 2"/>
    <w:basedOn w:val="Normal"/>
    <w:link w:val="Heading2Char"/>
    <w:uiPriority w:val="9"/>
    <w:semiHidden/>
    <w:unhideWhenUsed/>
    <w:qFormat/>
    <w:rsid w:val="00C349F2"/>
    <w:pPr>
      <w:spacing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9F2"/>
    <w:rPr>
      <w:rFonts w:ascii="Helvetica"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C349F2"/>
    <w:rPr>
      <w:rFonts w:ascii="Helvetica" w:hAnsi="Helvetica" w:cs="Helvetica"/>
      <w:b/>
      <w:bCs/>
      <w:color w:val="202020"/>
      <w:sz w:val="33"/>
      <w:szCs w:val="33"/>
      <w:lang w:eastAsia="en-GB"/>
    </w:rPr>
  </w:style>
  <w:style w:type="character" w:styleId="Hyperlink">
    <w:name w:val="Hyperlink"/>
    <w:basedOn w:val="DefaultParagraphFont"/>
    <w:uiPriority w:val="99"/>
    <w:unhideWhenUsed/>
    <w:rsid w:val="000803AE"/>
    <w:rPr>
      <w:color w:val="0000FF"/>
      <w:u w:val="single"/>
    </w:rPr>
  </w:style>
  <w:style w:type="paragraph" w:styleId="ListParagraph">
    <w:name w:val="List Paragraph"/>
    <w:basedOn w:val="Normal"/>
    <w:uiPriority w:val="34"/>
    <w:qFormat/>
    <w:rsid w:val="000803AE"/>
    <w:pPr>
      <w:spacing w:after="200" w:line="276" w:lineRule="auto"/>
      <w:ind w:left="720"/>
      <w:contextualSpacing/>
    </w:pPr>
    <w:rPr>
      <w:rFonts w:asciiTheme="minorHAnsi" w:hAnsiTheme="minorHAnsi" w:cstheme="minorBidi"/>
      <w:lang w:eastAsia="en-US"/>
    </w:rPr>
  </w:style>
  <w:style w:type="character" w:styleId="UnresolvedMention">
    <w:name w:val="Unresolved Mention"/>
    <w:basedOn w:val="DefaultParagraphFont"/>
    <w:uiPriority w:val="99"/>
    <w:semiHidden/>
    <w:unhideWhenUsed/>
    <w:rsid w:val="00C73215"/>
    <w:rPr>
      <w:color w:val="605E5C"/>
      <w:shd w:val="clear" w:color="auto" w:fill="E1DFDD"/>
    </w:rPr>
  </w:style>
  <w:style w:type="paragraph" w:styleId="Header">
    <w:name w:val="header"/>
    <w:basedOn w:val="Normal"/>
    <w:link w:val="HeaderChar"/>
    <w:uiPriority w:val="99"/>
    <w:unhideWhenUsed/>
    <w:rsid w:val="00BB6A3C"/>
    <w:pPr>
      <w:tabs>
        <w:tab w:val="center" w:pos="4513"/>
        <w:tab w:val="right" w:pos="9026"/>
      </w:tabs>
    </w:pPr>
  </w:style>
  <w:style w:type="character" w:customStyle="1" w:styleId="HeaderChar">
    <w:name w:val="Header Char"/>
    <w:basedOn w:val="DefaultParagraphFont"/>
    <w:link w:val="Header"/>
    <w:uiPriority w:val="99"/>
    <w:rsid w:val="00BB6A3C"/>
    <w:rPr>
      <w:rFonts w:ascii="Calibri" w:hAnsi="Calibri" w:cs="Calibri"/>
      <w:lang w:eastAsia="en-GB"/>
    </w:rPr>
  </w:style>
  <w:style w:type="paragraph" w:styleId="Footer">
    <w:name w:val="footer"/>
    <w:basedOn w:val="Normal"/>
    <w:link w:val="FooterChar"/>
    <w:uiPriority w:val="99"/>
    <w:unhideWhenUsed/>
    <w:rsid w:val="00BB6A3C"/>
    <w:pPr>
      <w:tabs>
        <w:tab w:val="center" w:pos="4513"/>
        <w:tab w:val="right" w:pos="9026"/>
      </w:tabs>
    </w:pPr>
  </w:style>
  <w:style w:type="character" w:customStyle="1" w:styleId="FooterChar">
    <w:name w:val="Footer Char"/>
    <w:basedOn w:val="DefaultParagraphFont"/>
    <w:link w:val="Footer"/>
    <w:uiPriority w:val="99"/>
    <w:rsid w:val="00BB6A3C"/>
    <w:rPr>
      <w:rFonts w:ascii="Calibri" w:hAnsi="Calibri" w:cs="Calibri"/>
      <w:lang w:eastAsia="en-GB"/>
    </w:rPr>
  </w:style>
  <w:style w:type="character" w:styleId="FollowedHyperlink">
    <w:name w:val="FollowedHyperlink"/>
    <w:basedOn w:val="DefaultParagraphFont"/>
    <w:uiPriority w:val="99"/>
    <w:semiHidden/>
    <w:unhideWhenUsed/>
    <w:rsid w:val="00EE1F83"/>
    <w:rPr>
      <w:color w:val="800080" w:themeColor="followedHyperlink"/>
      <w:u w:val="single"/>
    </w:rPr>
  </w:style>
  <w:style w:type="character" w:styleId="Strong">
    <w:name w:val="Strong"/>
    <w:basedOn w:val="DefaultParagraphFont"/>
    <w:uiPriority w:val="22"/>
    <w:qFormat/>
    <w:rsid w:val="006804C3"/>
    <w:rPr>
      <w:b/>
      <w:bCs/>
    </w:rPr>
  </w:style>
  <w:style w:type="paragraph" w:styleId="NormalWeb">
    <w:name w:val="Normal (Web)"/>
    <w:basedOn w:val="Normal"/>
    <w:uiPriority w:val="99"/>
    <w:unhideWhenUsed/>
    <w:rsid w:val="006804C3"/>
    <w:pPr>
      <w:spacing w:before="100" w:beforeAutospacing="1" w:after="100" w:afterAutospacing="1"/>
    </w:pPr>
    <w:rPr>
      <w:rFonts w:ascii="Times New Roman" w:eastAsia="Times New Roman" w:hAnsi="Times New Roman" w:cs="Times New Roman"/>
      <w:sz w:val="24"/>
      <w:szCs w:val="24"/>
    </w:rPr>
  </w:style>
  <w:style w:type="character" w:customStyle="1" w:styleId="xxcontentpasted3">
    <w:name w:val="x_xcontentpasted3"/>
    <w:basedOn w:val="DefaultParagraphFont"/>
    <w:rsid w:val="006804C3"/>
  </w:style>
  <w:style w:type="paragraph" w:customStyle="1" w:styleId="xxmsonormal">
    <w:name w:val="x_xmsonormal"/>
    <w:basedOn w:val="Normal"/>
    <w:rsid w:val="006804C3"/>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6804C3"/>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E132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1249"/>
    <w:pPr>
      <w:spacing w:after="0" w:line="240" w:lineRule="auto"/>
    </w:pPr>
    <w:rPr>
      <w:rFonts w:ascii="Calibri" w:hAnsi="Calibri" w:cs="Calibri"/>
      <w:lang w:eastAsia="en-GB"/>
    </w:rPr>
  </w:style>
  <w:style w:type="paragraph" w:customStyle="1" w:styleId="xmsolistparagraph">
    <w:name w:val="x_msolistparagraph"/>
    <w:basedOn w:val="Normal"/>
    <w:rsid w:val="00873039"/>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6D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22575">
      <w:bodyDiv w:val="1"/>
      <w:marLeft w:val="0"/>
      <w:marRight w:val="0"/>
      <w:marTop w:val="0"/>
      <w:marBottom w:val="0"/>
      <w:divBdr>
        <w:top w:val="none" w:sz="0" w:space="0" w:color="auto"/>
        <w:left w:val="none" w:sz="0" w:space="0" w:color="auto"/>
        <w:bottom w:val="none" w:sz="0" w:space="0" w:color="auto"/>
        <w:right w:val="none" w:sz="0" w:space="0" w:color="auto"/>
      </w:divBdr>
    </w:div>
    <w:div w:id="1144271476">
      <w:bodyDiv w:val="1"/>
      <w:marLeft w:val="0"/>
      <w:marRight w:val="0"/>
      <w:marTop w:val="0"/>
      <w:marBottom w:val="0"/>
      <w:divBdr>
        <w:top w:val="none" w:sz="0" w:space="0" w:color="auto"/>
        <w:left w:val="none" w:sz="0" w:space="0" w:color="auto"/>
        <w:bottom w:val="none" w:sz="0" w:space="0" w:color="auto"/>
        <w:right w:val="none" w:sz="0" w:space="0" w:color="auto"/>
      </w:divBdr>
    </w:div>
    <w:div w:id="1339425224">
      <w:bodyDiv w:val="1"/>
      <w:marLeft w:val="0"/>
      <w:marRight w:val="0"/>
      <w:marTop w:val="0"/>
      <w:marBottom w:val="0"/>
      <w:divBdr>
        <w:top w:val="none" w:sz="0" w:space="0" w:color="auto"/>
        <w:left w:val="none" w:sz="0" w:space="0" w:color="auto"/>
        <w:bottom w:val="none" w:sz="0" w:space="0" w:color="auto"/>
        <w:right w:val="none" w:sz="0" w:space="0" w:color="auto"/>
      </w:divBdr>
    </w:div>
    <w:div w:id="21022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hyperlink" Target="https://www.gov.uk/drug-safety-update/insulin-pumps-and-continuous-glucose-monitoring-cgm-equipment-guidance-for-users-on-reporting-suspected-adverse-incidents-and-safety-concerns-to-the-mhras-yellow-card-scheme" TargetMode="External"/><Relationship Id="rId39" Type="http://schemas.openxmlformats.org/officeDocument/2006/relationships/image" Target="media/image7.emf"/><Relationship Id="rId21" Type="http://schemas.openxmlformats.org/officeDocument/2006/relationships/hyperlink" Target="https://www.gov.uk/drug-safety-update" TargetMode="External"/><Relationship Id="rId34" Type="http://schemas.openxmlformats.org/officeDocument/2006/relationships/hyperlink" Target="https://www.gov.uk/drug-safety-update/letters-and-medicine-recalls-sent-to-healthcare-professionals-in-september-2024" TargetMode="External"/><Relationship Id="rId42" Type="http://schemas.openxmlformats.org/officeDocument/2006/relationships/hyperlink" Target="https://www.eastkentformulary.nhs.uk/media/1824/kent-and-medway-guidance-on-safe-insulin-prescribing.pdf"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www.england.nhs.uk%2Flong-read%2Fcommissioning-recommendations-for-national-procurement-for-doacs%2F&amp;data=05%7C02%7Ckmicb.eastkentprescribing%40nhs.net%7Cd4a95e0aa799434313ad08dcd33a4f53%7C37c354b285b047f5b22207b48d774ee3%7C0%7C0%7C638617494588034357%7CUnknown%7CTWFpbGZsb3d8eyJWIjoiMC4wLjAwMDAiLCJQIjoiV2luMzIiLCJBTiI6Ik1haWwiLCJXVCI6Mn0%3D%7C0%7C%7C%7C&amp;sdata=8h0DJ2l2jU3ck3mF8WBEODmTxweH2dYyaQxstv38mDc%3D&amp;reserved=0" TargetMode="External"/><Relationship Id="rId29" Type="http://schemas.openxmlformats.org/officeDocument/2006/relationships/hyperlink" Target="https://assets.publishing.service.gov.uk/media/670519c130536cb927482dda/POSTER_-_FINAL_COPY.pdf" TargetMode="External"/><Relationship Id="rId11" Type="http://schemas.openxmlformats.org/officeDocument/2006/relationships/image" Target="media/image1.png"/><Relationship Id="rId24" Type="http://schemas.openxmlformats.org/officeDocument/2006/relationships/hyperlink" Target="https://www.gov.uk/drug-safety-update/glp-1-receptor-agonists-reminder-of-the-potential-side-effects-and-to-be-aware-of-the-potential-for-misuse" TargetMode="External"/><Relationship Id="rId32" Type="http://schemas.openxmlformats.org/officeDocument/2006/relationships/hyperlink" Target="https://www.gov.uk/drug-safety-update/bromocriptine-monitor-blood-pressure-when-prescribing-bromocriptine-for-prevention-or-inhibition-of-post-partum-physiological-lactation" TargetMode="External"/><Relationship Id="rId37" Type="http://schemas.openxmlformats.org/officeDocument/2006/relationships/hyperlink" Target="https://www.sps.nhs.uk/home/tools/medicines-supply-tool/" TargetMode="External"/><Relationship Id="rId40" Type="http://schemas.openxmlformats.org/officeDocument/2006/relationships/oleObject" Target="embeddings/oleObject3.bin"/><Relationship Id="rId45" Type="http://schemas.openxmlformats.org/officeDocument/2006/relationships/hyperlink" Target="https://www.eastkentformulary.nhs.uk/media/1823/prescribing-liquid-morphine-position-statement.pdf" TargetMode="External"/><Relationship Id="rId5" Type="http://schemas.openxmlformats.org/officeDocument/2006/relationships/numbering" Target="numbering.xml"/><Relationship Id="rId15" Type="http://schemas.openxmlformats.org/officeDocument/2006/relationships/hyperlink" Target="https://www.eventbrite.co.uk/e/medway-and-swale-hcp-pain-services-community-of-practice-webinar-tickets-1067247980439" TargetMode="External"/><Relationship Id="rId23" Type="http://schemas.openxmlformats.org/officeDocument/2006/relationships/hyperlink" Target="https://www.gov.uk/drug-safety-update/ozempicv-semaglutide-and-saxenda-liraglutide-vigilance-required-due-to-potentially-harmful-falsified-products" TargetMode="External"/><Relationship Id="rId28" Type="http://schemas.openxmlformats.org/officeDocument/2006/relationships/hyperlink" Target="https://www.gov.uk/government/publications/report-safety-concerns-with-insulin-pumps-and-continuous-glucose-monitoring-equipment" TargetMode="External"/><Relationship Id="rId36" Type="http://schemas.openxmlformats.org/officeDocument/2006/relationships/hyperlink" Target="https://www.cas.mhra.gov.uk/ViewandAcknowledgment/ViewAlert.aspx?AlertID=103257"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yperlink" Target="https://www.gov.uk/drug-safety-update/bromocriptine-monitor-blood-pressure-when-prescribing-bromocriptine-for-prevention-or-inhibition-of-post-partum-physiological-lactation" TargetMode="External"/><Relationship Id="rId44" Type="http://schemas.openxmlformats.org/officeDocument/2006/relationships/hyperlink" Target="https://www.eastkentformulary.nhs.uk/media/1822/morphine-liquid-appropriate-use-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drug-safety-update/glp-1-receptor-agonists-reminder-of-the-potential-side-effects-and-to-be-aware-of-the-potential-for-misuse" TargetMode="External"/><Relationship Id="rId27" Type="http://schemas.openxmlformats.org/officeDocument/2006/relationships/hyperlink" Target="https://www.gov.uk/government/publications/report-safety-concerns-with-insulin-pumps-and-continuous-glucose-monitoring-equipment" TargetMode="External"/><Relationship Id="rId30" Type="http://schemas.openxmlformats.org/officeDocument/2006/relationships/hyperlink" Target="http://www.mhra.gov.uk/yellowcard" TargetMode="External"/><Relationship Id="rId35" Type="http://schemas.openxmlformats.org/officeDocument/2006/relationships/hyperlink" Target="https://www.cas.mhra.gov.uk/Home.aspx" TargetMode="External"/><Relationship Id="rId43" Type="http://schemas.openxmlformats.org/officeDocument/2006/relationships/hyperlink" Target="https://www.eastkentformulary.nhs.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emf"/><Relationship Id="rId25" Type="http://schemas.openxmlformats.org/officeDocument/2006/relationships/hyperlink" Target="http://www.mhra.gov.uk/yellowcard" TargetMode="External"/><Relationship Id="rId33" Type="http://schemas.openxmlformats.org/officeDocument/2006/relationships/hyperlink" Target="http://www.mhra.gov.uk/yellowcard" TargetMode="External"/><Relationship Id="rId38" Type="http://schemas.openxmlformats.org/officeDocument/2006/relationships/hyperlink" Target="https://www.nhsbsa.nhs.uk/pharmacies-gp-practices-and-appliance-contractors/serious-shortage-protocols-ssps" TargetMode="External"/><Relationship Id="rId46" Type="http://schemas.openxmlformats.org/officeDocument/2006/relationships/hyperlink" Target="https://www.eastkentformulary.nhs.uk/media/1852/actimorph-gp-printout-004-upload-21feb2023.pdf" TargetMode="External"/><Relationship Id="rId20" Type="http://schemas.openxmlformats.org/officeDocument/2006/relationships/oleObject" Target="embeddings/oleObject2.bin"/><Relationship Id="rId41" Type="http://schemas.openxmlformats.org/officeDocument/2006/relationships/hyperlink" Target="https://www.eastkentformulary.nhs.uk/media/1825/kent-and-medway-guidance-of-biosimilar-insulin-prescribing.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4" ma:contentTypeDescription="Create a new document." ma:contentTypeScope="" ma:versionID="6426a48f5d00ef1aae24c06b6b71eb87">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fa62d7638be8c72fcc7562784edfb5ee"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2B1C-F556-4616-B905-70D1E2EA90B9}">
  <ds:schemaRefs>
    <ds:schemaRef ds:uri="http://schemas.microsoft.com/sharepoint/v3/contenttype/forms"/>
  </ds:schemaRefs>
</ds:datastoreItem>
</file>

<file path=customXml/itemProps2.xml><?xml version="1.0" encoding="utf-8"?>
<ds:datastoreItem xmlns:ds="http://schemas.openxmlformats.org/officeDocument/2006/customXml" ds:itemID="{52319015-9D20-494F-AF73-EC3E4156B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C47E44-19EC-4778-8CDB-CE781D3A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3D210-6B8F-4665-9402-B257499CFB0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Alex (NHS KENT AND MEDWAY CCG)</dc:creator>
  <cp:keywords/>
  <dc:description/>
  <cp:lastModifiedBy>KHAIRA, Pavandeep (NHS KENT AND MEDWAY ICB - 91Q)</cp:lastModifiedBy>
  <cp:revision>4</cp:revision>
  <dcterms:created xsi:type="dcterms:W3CDTF">2024-11-20T16:29:00Z</dcterms:created>
  <dcterms:modified xsi:type="dcterms:W3CDTF">2024-11-20T16:35:00Z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